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76" w:lineRule="auto"/>
        <w:ind w:firstLine="567" w:left="-425" w:right="-284"/>
        <w:contextualSpacing w:val="1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Итоги </w:t>
      </w:r>
      <w:r>
        <w:rPr>
          <w:rFonts w:ascii="Times New Roman" w:hAnsi="Times New Roman"/>
          <w:b w:val="0"/>
          <w:sz w:val="28"/>
        </w:rPr>
        <w:t xml:space="preserve">работы комиссии по делам несовершеннолетних и защите их прав </w:t>
      </w:r>
      <w:r>
        <w:rPr>
          <w:rFonts w:ascii="Times New Roman" w:hAnsi="Times New Roman"/>
          <w:b w:val="0"/>
          <w:sz w:val="28"/>
        </w:rPr>
        <w:t xml:space="preserve">при </w:t>
      </w:r>
      <w:r>
        <w:rPr>
          <w:rFonts w:ascii="Times New Roman" w:hAnsi="Times New Roman"/>
          <w:b w:val="0"/>
          <w:sz w:val="28"/>
        </w:rPr>
        <w:t xml:space="preserve">Администрации Белокалитвинского района </w:t>
      </w:r>
      <w:r>
        <w:rPr>
          <w:rFonts w:ascii="Times New Roman" w:hAnsi="Times New Roman"/>
          <w:b w:val="0"/>
          <w:sz w:val="28"/>
        </w:rPr>
        <w:t>за 2024</w:t>
      </w:r>
      <w:r>
        <w:rPr>
          <w:rFonts w:ascii="Times New Roman" w:hAnsi="Times New Roman"/>
          <w:b w:val="0"/>
          <w:sz w:val="28"/>
        </w:rPr>
        <w:t xml:space="preserve"> год.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02000000">
      <w:pPr>
        <w:spacing w:line="276" w:lineRule="auto"/>
        <w:ind w:right="-284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Деятельность органов </w:t>
      </w:r>
      <w:r>
        <w:rPr>
          <w:rFonts w:ascii="Times New Roman" w:hAnsi="Times New Roman"/>
          <w:sz w:val="28"/>
        </w:rPr>
        <w:t xml:space="preserve">системы </w:t>
      </w:r>
      <w:r>
        <w:rPr>
          <w:rFonts w:ascii="Times New Roman" w:hAnsi="Times New Roman"/>
          <w:sz w:val="28"/>
        </w:rPr>
        <w:t xml:space="preserve">профилактики </w:t>
      </w:r>
      <w:r>
        <w:rPr>
          <w:rFonts w:ascii="Times New Roman" w:hAnsi="Times New Roman"/>
          <w:sz w:val="28"/>
        </w:rPr>
        <w:t xml:space="preserve">безнадзорности и правонарушений несовершеннолетних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Белокалитвинском</w:t>
      </w:r>
      <w:r>
        <w:rPr>
          <w:rFonts w:ascii="Times New Roman" w:hAnsi="Times New Roman"/>
          <w:sz w:val="28"/>
        </w:rPr>
        <w:t xml:space="preserve"> районе осуществляется в соответствии с правилами и принципами, определенными Федеральным законом от 23.06.2016 №182-ФЗ «Об основах системы профилактики правона</w:t>
      </w:r>
      <w:r>
        <w:rPr>
          <w:rFonts w:ascii="Times New Roman" w:hAnsi="Times New Roman"/>
          <w:sz w:val="28"/>
        </w:rPr>
        <w:t>рушений в Российской Федерации»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Федеральны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законом </w:t>
      </w:r>
      <w:r>
        <w:rPr>
          <w:rFonts w:ascii="Times New Roman" w:hAnsi="Times New Roman"/>
          <w:sz w:val="28"/>
        </w:rPr>
        <w:t>от 24.06.1999 № 120-ФЗ «Об основах системы профилактики безнадзорности и прав</w:t>
      </w:r>
      <w:r>
        <w:rPr>
          <w:rFonts w:ascii="Times New Roman" w:hAnsi="Times New Roman"/>
          <w:sz w:val="28"/>
        </w:rPr>
        <w:t>онарушений несовершеннолетних» и постановлением Администрации Белокалитвинского района от 16.09.2019 № 1498 «О создании комиссии по делам несовершеннолетних и защите их прав при Администрации Белокалитвинского района»</w:t>
      </w:r>
      <w:r>
        <w:rPr>
          <w:rFonts w:ascii="Times New Roman" w:hAnsi="Times New Roman"/>
          <w:sz w:val="28"/>
        </w:rPr>
        <w:t>, далее комиссия.</w:t>
      </w:r>
    </w:p>
    <w:p w14:paraId="04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осуществления контроля за ситуацией, связанной с совершением преступлений несовершеннолетними и в отношении них, профилактики безнадзорности, беспризорности, правонарушений несовершеннолетних Комиссией по делам несовершеннолетних и защите их прав при Администрации Белокалитвинского района на заседаниях систематически рассматриваются вопросы о проблемах межведомственного взаимодействия по раннему выявлению семей и детей, находящихся в социально опасном положении, по недопущению случаев самовольных уходов воспитанников, по организации и проведению профилактической работы с ними, </w:t>
      </w:r>
      <w:r>
        <w:rPr>
          <w:rFonts w:ascii="Times New Roman" w:hAnsi="Times New Roman"/>
          <w:sz w:val="28"/>
        </w:rPr>
        <w:t xml:space="preserve">по недопущению суицидов, экстремистского поведения, </w:t>
      </w:r>
      <w:r>
        <w:rPr>
          <w:rFonts w:ascii="Times New Roman" w:hAnsi="Times New Roman"/>
          <w:sz w:val="28"/>
        </w:rPr>
        <w:t>а также вопросы организации профилактической работы с подростками, совершившими правонарушения, преступления, общественно - опасные деяния до достижения возраста, с которого наступает уголовная ответственность, и с несовершеннолетними, осужденными без изоляции от общества и многие другие вопросы.</w:t>
      </w:r>
    </w:p>
    <w:p w14:paraId="05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За 2024</w:t>
      </w:r>
      <w:r>
        <w:rPr>
          <w:rFonts w:ascii="Times New Roman" w:hAnsi="Times New Roman"/>
          <w:b w:val="1"/>
          <w:sz w:val="28"/>
        </w:rPr>
        <w:t xml:space="preserve"> год </w:t>
      </w:r>
      <w:r>
        <w:rPr>
          <w:rFonts w:ascii="Times New Roman" w:hAnsi="Times New Roman"/>
          <w:b w:val="1"/>
          <w:sz w:val="28"/>
        </w:rPr>
        <w:t xml:space="preserve">численность </w:t>
      </w:r>
      <w:r>
        <w:rPr>
          <w:rFonts w:ascii="Times New Roman" w:hAnsi="Times New Roman"/>
          <w:sz w:val="28"/>
        </w:rPr>
        <w:t xml:space="preserve">несовершеннолетних, в отношении которых различными органами и учреждениями системы профилактики проводилась индивидуальная профилактическая работа </w:t>
      </w:r>
      <w:r>
        <w:rPr>
          <w:rFonts w:ascii="Times New Roman" w:hAnsi="Times New Roman"/>
          <w:sz w:val="28"/>
        </w:rPr>
        <w:t xml:space="preserve">составила </w:t>
      </w:r>
      <w:r>
        <w:rPr>
          <w:rFonts w:ascii="Times New Roman" w:hAnsi="Times New Roman"/>
          <w:sz w:val="28"/>
        </w:rPr>
        <w:t>245</w:t>
      </w:r>
      <w:r>
        <w:rPr>
          <w:rFonts w:ascii="Times New Roman" w:hAnsi="Times New Roman"/>
          <w:sz w:val="28"/>
        </w:rPr>
        <w:t xml:space="preserve"> человек</w:t>
      </w:r>
      <w:r>
        <w:rPr>
          <w:rFonts w:ascii="Times New Roman" w:hAnsi="Times New Roman"/>
          <w:sz w:val="28"/>
        </w:rPr>
        <w:t>а (АППГ - 284).</w:t>
      </w:r>
    </w:p>
    <w:p w14:paraId="06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01.01.202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профилактическом учёте комиссии по делам несовершеннолетних и защите их прав состо</w:t>
      </w:r>
      <w:r>
        <w:rPr>
          <w:rFonts w:ascii="Times New Roman" w:hAnsi="Times New Roman"/>
          <w:sz w:val="28"/>
        </w:rPr>
        <w:t>яло</w:t>
      </w:r>
      <w:r>
        <w:rPr>
          <w:rFonts w:ascii="Times New Roman" w:hAnsi="Times New Roman"/>
          <w:sz w:val="28"/>
        </w:rPr>
        <w:t xml:space="preserve"> 50</w:t>
      </w:r>
      <w:r>
        <w:rPr>
          <w:rFonts w:ascii="Times New Roman" w:hAnsi="Times New Roman"/>
          <w:sz w:val="28"/>
        </w:rPr>
        <w:t xml:space="preserve"> несовершеннолетни</w:t>
      </w:r>
      <w:r>
        <w:rPr>
          <w:rFonts w:ascii="Times New Roman" w:hAnsi="Times New Roman"/>
          <w:sz w:val="28"/>
        </w:rPr>
        <w:t>х (АППГ - 46). На 01 января 2025</w:t>
      </w:r>
      <w:r>
        <w:rPr>
          <w:rFonts w:ascii="Times New Roman" w:hAnsi="Times New Roman"/>
          <w:sz w:val="28"/>
        </w:rPr>
        <w:t xml:space="preserve"> года на учёте </w:t>
      </w:r>
      <w:r>
        <w:rPr>
          <w:rFonts w:ascii="Times New Roman" w:hAnsi="Times New Roman"/>
          <w:sz w:val="28"/>
        </w:rPr>
        <w:t>комиссии</w:t>
      </w:r>
      <w:r>
        <w:rPr>
          <w:rFonts w:ascii="Times New Roman" w:hAnsi="Times New Roman"/>
          <w:sz w:val="28"/>
        </w:rPr>
        <w:t xml:space="preserve"> состояло 62</w:t>
      </w:r>
      <w:r>
        <w:rPr>
          <w:rFonts w:ascii="Times New Roman" w:hAnsi="Times New Roman"/>
          <w:sz w:val="28"/>
        </w:rPr>
        <w:t xml:space="preserve"> несовершеннолетних (АППГ – 52). Списки постоянно обновляются, на </w:t>
      </w:r>
      <w:r>
        <w:rPr>
          <w:rFonts w:ascii="Times New Roman" w:hAnsi="Times New Roman"/>
          <w:sz w:val="28"/>
        </w:rPr>
        <w:t>17.02</w:t>
      </w:r>
      <w:r>
        <w:rPr>
          <w:rFonts w:ascii="Times New Roman" w:hAnsi="Times New Roman"/>
          <w:sz w:val="28"/>
        </w:rPr>
        <w:t>.2025 состоит 55</w:t>
      </w:r>
      <w:r>
        <w:rPr>
          <w:rFonts w:ascii="Times New Roman" w:hAnsi="Times New Roman"/>
          <w:sz w:val="28"/>
        </w:rPr>
        <w:t xml:space="preserve"> несовершеннолетний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 xml:space="preserve"> несовершеннолетних – учащиеся техникумов, 31</w:t>
      </w:r>
      <w:r>
        <w:rPr>
          <w:rFonts w:ascii="Times New Roman" w:hAnsi="Times New Roman"/>
          <w:sz w:val="28"/>
        </w:rPr>
        <w:t xml:space="preserve"> несовершеннолетних – учащиеся школ,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не обучаются.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 них 3 (АППГ - </w:t>
      </w:r>
      <w:r>
        <w:rPr>
          <w:rFonts w:ascii="Times New Roman" w:hAnsi="Times New Roman"/>
          <w:sz w:val="28"/>
        </w:rPr>
        <w:t>4)</w:t>
      </w:r>
      <w:r>
        <w:rPr>
          <w:rFonts w:ascii="Times New Roman" w:hAnsi="Times New Roman"/>
          <w:sz w:val="28"/>
        </w:rPr>
        <w:t xml:space="preserve"> употребляющих наркотические средства или психотропные вещества без назначения врача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либо употребляющих одурманивающие вещества,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употребляющие </w:t>
      </w:r>
      <w:r>
        <w:rPr>
          <w:rFonts w:ascii="Times New Roman" w:hAnsi="Times New Roman"/>
          <w:sz w:val="28"/>
        </w:rPr>
        <w:t>алкогольную и спиртосодержащую продукцию</w:t>
      </w:r>
      <w:r>
        <w:rPr>
          <w:rFonts w:ascii="Times New Roman" w:hAnsi="Times New Roman"/>
          <w:sz w:val="28"/>
        </w:rPr>
        <w:t>, 2</w:t>
      </w:r>
      <w:r>
        <w:rPr>
          <w:rFonts w:ascii="Times New Roman" w:hAnsi="Times New Roman"/>
          <w:sz w:val="28"/>
        </w:rPr>
        <w:t xml:space="preserve"> совершившие уголовное преступление, 8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совершивших правонарушение до достижения возраста, с которого наступает административная ответственность</w:t>
      </w:r>
      <w:r>
        <w:rPr>
          <w:rFonts w:ascii="Times New Roman" w:hAnsi="Times New Roman"/>
          <w:sz w:val="28"/>
        </w:rPr>
        <w:t>, 7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совершивших общественно опасное деяние и не подлежащих уголовной ответственности в связи с недостижением возраста, с которого наступает </w:t>
      </w:r>
      <w:r>
        <w:rPr>
          <w:rFonts w:ascii="Times New Roman" w:hAnsi="Times New Roman"/>
          <w:sz w:val="28"/>
        </w:rPr>
        <w:t xml:space="preserve">уголовная ответственность, или вследствие отставания в психическом развитии, не связанного с психическим расстройством, </w:t>
      </w:r>
      <w:r>
        <w:rPr>
          <w:rFonts w:ascii="Times New Roman" w:hAnsi="Times New Roman"/>
          <w:sz w:val="28"/>
        </w:rPr>
        <w:t>2 несовершеннолетних на момент совершения преступления уже состояли на учете в комиссии по делам несовершеннолетних и защите их прав.</w:t>
      </w:r>
    </w:p>
    <w:p w14:paraId="07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Несовершеннолетни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>, состоящие на всех видах учёта,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вовлекаются </w:t>
      </w:r>
      <w:r>
        <w:rPr>
          <w:rFonts w:ascii="Times New Roman" w:hAnsi="Times New Roman"/>
          <w:b w:val="0"/>
          <w:sz w:val="28"/>
        </w:rPr>
        <w:t>в мероприятия культурного досуга здоровьесберегающего характера, трудов</w:t>
      </w:r>
      <w:r>
        <w:rPr>
          <w:rFonts w:ascii="Times New Roman" w:hAnsi="Times New Roman"/>
          <w:b w:val="0"/>
          <w:sz w:val="28"/>
        </w:rPr>
        <w:t xml:space="preserve">ую </w:t>
      </w:r>
      <w:r>
        <w:rPr>
          <w:rFonts w:ascii="Times New Roman" w:hAnsi="Times New Roman"/>
          <w:b w:val="0"/>
          <w:sz w:val="28"/>
        </w:rPr>
        <w:t>занятост</w:t>
      </w:r>
      <w:r>
        <w:rPr>
          <w:rFonts w:ascii="Times New Roman" w:hAnsi="Times New Roman"/>
          <w:b w:val="0"/>
          <w:sz w:val="28"/>
        </w:rPr>
        <w:t>ь</w:t>
      </w:r>
      <w:r>
        <w:rPr>
          <w:rFonts w:ascii="Times New Roman" w:hAnsi="Times New Roman"/>
          <w:b w:val="0"/>
          <w:sz w:val="28"/>
        </w:rPr>
        <w:t>, в систему дополнительного образования</w:t>
      </w:r>
      <w:r>
        <w:rPr>
          <w:rFonts w:ascii="Times New Roman" w:hAnsi="Times New Roman"/>
          <w:b w:val="0"/>
          <w:sz w:val="28"/>
        </w:rPr>
        <w:t xml:space="preserve">. </w:t>
      </w:r>
    </w:p>
    <w:p w14:paraId="08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каждого несовершеннолетнего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состоящего на профилактическом учёте составлена программа индивидуальной коррекционной профилактической работы с несовершеннолетним. Все органы системы профилактики принимают активное участие в работе с несовершеннолетним и родителями: </w:t>
      </w:r>
    </w:p>
    <w:p w14:paraId="09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</w:t>
      </w:r>
      <w:r>
        <w:rPr>
          <w:rFonts w:ascii="Times New Roman" w:hAnsi="Times New Roman"/>
          <w:sz w:val="28"/>
        </w:rPr>
        <w:t>ентр психолого-педагогической, медицинской, социальной помощи</w:t>
      </w:r>
      <w:r>
        <w:rPr>
          <w:rFonts w:ascii="Times New Roman" w:hAnsi="Times New Roman"/>
          <w:sz w:val="28"/>
        </w:rPr>
        <w:t xml:space="preserve"> осуществляет психолого-педагогическое сопровождение, направленное на оказание компл</w:t>
      </w:r>
      <w:r>
        <w:rPr>
          <w:rFonts w:ascii="Times New Roman" w:hAnsi="Times New Roman"/>
          <w:sz w:val="28"/>
        </w:rPr>
        <w:t>ексной психолого-</w:t>
      </w:r>
      <w:r>
        <w:rPr>
          <w:rFonts w:ascii="Times New Roman" w:hAnsi="Times New Roman"/>
          <w:sz w:val="28"/>
        </w:rPr>
        <w:t>педагогической помощи родителям и несовершеннолетним;</w:t>
      </w:r>
    </w:p>
    <w:p w14:paraId="0A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органами опеки и попечительства, специалистом по делам несовершеннолетних и защите их прав проводятся беседы, консультации с родителями и несовершеннолетними по оказанию необходимой помощи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0B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</w:t>
      </w:r>
      <w:r>
        <w:rPr>
          <w:rFonts w:ascii="Times New Roman" w:hAnsi="Times New Roman"/>
          <w:sz w:val="28"/>
        </w:rPr>
        <w:t>правление социальной защиты населения</w:t>
      </w:r>
      <w:r>
        <w:rPr>
          <w:rFonts w:ascii="Times New Roman" w:hAnsi="Times New Roman"/>
          <w:sz w:val="28"/>
        </w:rPr>
        <w:t xml:space="preserve"> оказывает необходимую социальную адресную помощь, предлагает оздоровление несовершеннолетнего;</w:t>
      </w:r>
    </w:p>
    <w:p w14:paraId="0C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ЦРБ по необходимости оказывает медицинское сопровождение;</w:t>
      </w:r>
    </w:p>
    <w:p w14:paraId="0D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</w:t>
      </w:r>
      <w:r>
        <w:rPr>
          <w:rFonts w:ascii="Times New Roman" w:hAnsi="Times New Roman"/>
          <w:sz w:val="28"/>
        </w:rPr>
        <w:t>лужба по физической культуре, спорту и делам молодёжи</w:t>
      </w:r>
      <w:r>
        <w:rPr>
          <w:rFonts w:ascii="Times New Roman" w:hAnsi="Times New Roman"/>
          <w:sz w:val="28"/>
        </w:rPr>
        <w:t>, отдел культуры привлекают несовершеннолетн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к досуговой деятельности;</w:t>
      </w:r>
    </w:p>
    <w:p w14:paraId="0E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</w:t>
      </w:r>
      <w:r>
        <w:rPr>
          <w:rFonts w:ascii="Times New Roman" w:hAnsi="Times New Roman"/>
          <w:sz w:val="28"/>
        </w:rPr>
        <w:t>тдел полиции по делам несовершеннолетних</w:t>
      </w:r>
      <w:r>
        <w:rPr>
          <w:rFonts w:ascii="Times New Roman" w:hAnsi="Times New Roman"/>
          <w:sz w:val="28"/>
        </w:rPr>
        <w:t xml:space="preserve"> ОМВД России по </w:t>
      </w:r>
      <w:r>
        <w:rPr>
          <w:rFonts w:ascii="Times New Roman" w:hAnsi="Times New Roman"/>
          <w:sz w:val="28"/>
        </w:rPr>
        <w:t>Белокалитвинскому</w:t>
      </w:r>
      <w:r>
        <w:rPr>
          <w:rFonts w:ascii="Times New Roman" w:hAnsi="Times New Roman"/>
          <w:sz w:val="28"/>
        </w:rPr>
        <w:t xml:space="preserve"> району проводит разъяснительную работу с семьями</w:t>
      </w:r>
      <w:r>
        <w:rPr>
          <w:rFonts w:ascii="Times New Roman" w:hAnsi="Times New Roman"/>
          <w:sz w:val="28"/>
        </w:rPr>
        <w:t xml:space="preserve"> и детьми</w:t>
      </w:r>
      <w:r>
        <w:rPr>
          <w:rFonts w:ascii="Times New Roman" w:hAnsi="Times New Roman"/>
          <w:sz w:val="28"/>
        </w:rPr>
        <w:t>.</w:t>
      </w:r>
    </w:p>
    <w:p w14:paraId="0F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Комиссией ведется огромная работа по раннему выявлению семей, находящихся в социально опасном положении. В </w:t>
      </w:r>
      <w:r>
        <w:rPr>
          <w:rFonts w:ascii="Times New Roman" w:hAnsi="Times New Roman"/>
          <w:sz w:val="28"/>
        </w:rPr>
        <w:t>Белокалитвинском</w:t>
      </w:r>
      <w:r>
        <w:rPr>
          <w:rFonts w:ascii="Times New Roman" w:hAnsi="Times New Roman"/>
          <w:sz w:val="28"/>
        </w:rPr>
        <w:t xml:space="preserve"> районе сформирован банк данных семей, находящихся в социально опасном положении. </w:t>
      </w:r>
    </w:p>
    <w:p w14:paraId="10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заседаниях КДНиЗП рассматриваются вопросы по профилактической работе с семьями СОП,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заслушиваются отчёты об исполнении программ, принимаются решения о дальнейшей работе с семь</w:t>
      </w:r>
      <w:r>
        <w:rPr>
          <w:rFonts w:ascii="Times New Roman" w:hAnsi="Times New Roman"/>
          <w:sz w:val="28"/>
        </w:rPr>
        <w:t xml:space="preserve">ёй, применении более строгих мер к родителям </w:t>
      </w:r>
      <w:r>
        <w:rPr>
          <w:rFonts w:ascii="Times New Roman" w:hAnsi="Times New Roman"/>
          <w:sz w:val="28"/>
        </w:rPr>
        <w:t>или снятии семьи с учёта</w:t>
      </w:r>
      <w:r>
        <w:rPr>
          <w:rFonts w:ascii="Times New Roman" w:hAnsi="Times New Roman"/>
          <w:b w:val="1"/>
          <w:sz w:val="28"/>
        </w:rPr>
        <w:t xml:space="preserve">. </w:t>
      </w:r>
    </w:p>
    <w:p w14:paraId="11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 01.01.20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sz w:val="28"/>
        </w:rPr>
        <w:t xml:space="preserve"> на учёте в едином областном банке данных семей, находящихся в социально опасном положении, состоит 25 </w:t>
      </w:r>
      <w:r>
        <w:rPr>
          <w:rFonts w:ascii="Times New Roman" w:hAnsi="Times New Roman"/>
          <w:sz w:val="28"/>
        </w:rPr>
        <w:t>семья, в них проживает 72</w:t>
      </w:r>
      <w:r>
        <w:rPr>
          <w:rFonts w:ascii="Times New Roman" w:hAnsi="Times New Roman"/>
          <w:sz w:val="28"/>
        </w:rPr>
        <w:t xml:space="preserve"> детей. На 01.01.2024</w:t>
      </w:r>
      <w:r>
        <w:rPr>
          <w:rFonts w:ascii="Times New Roman" w:hAnsi="Times New Roman"/>
          <w:sz w:val="28"/>
        </w:rPr>
        <w:t xml:space="preserve"> года в банке данных семей, находящихся в социально опасном положении, состояло 31 семей, в них проживает 80 детей.</w:t>
      </w:r>
    </w:p>
    <w:p w14:paraId="12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2024</w:t>
      </w:r>
      <w:r>
        <w:rPr>
          <w:rFonts w:ascii="Times New Roman" w:hAnsi="Times New Roman"/>
          <w:sz w:val="28"/>
        </w:rPr>
        <w:t xml:space="preserve"> год в банк данных семей, находящихся в социально опасном положении, поставлено 1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семей. Снято 14</w:t>
      </w:r>
      <w:r>
        <w:rPr>
          <w:rFonts w:ascii="Times New Roman" w:hAnsi="Times New Roman"/>
          <w:sz w:val="28"/>
        </w:rPr>
        <w:t xml:space="preserve"> семей. Из них 10</w:t>
      </w:r>
      <w:r>
        <w:rPr>
          <w:rFonts w:ascii="Times New Roman" w:hAnsi="Times New Roman"/>
          <w:sz w:val="28"/>
        </w:rPr>
        <w:t xml:space="preserve"> с улучшение ситуации в семье, 1 в связи с переездом, </w:t>
      </w:r>
      <w:r>
        <w:rPr>
          <w:rFonts w:ascii="Times New Roman" w:hAnsi="Times New Roman"/>
          <w:sz w:val="28"/>
        </w:rPr>
        <w:t xml:space="preserve"> 3 в связи с достижением 18 лет детям (в 2023 году поставлено 20 семей, снято 12 семей – 9 с улучшением динамики, 1 семья </w:t>
      </w:r>
      <w:r>
        <w:rPr>
          <w:rFonts w:ascii="Times New Roman" w:hAnsi="Times New Roman"/>
          <w:sz w:val="28"/>
        </w:rPr>
        <w:t xml:space="preserve">в связи с переездом, </w:t>
      </w:r>
      <w:r>
        <w:rPr>
          <w:rFonts w:ascii="Times New Roman" w:hAnsi="Times New Roman"/>
          <w:sz w:val="28"/>
        </w:rPr>
        <w:t xml:space="preserve"> 2 в связи с достижением 18 лет детям</w:t>
      </w:r>
      <w:r>
        <w:rPr>
          <w:rFonts w:ascii="Times New Roman" w:hAnsi="Times New Roman"/>
          <w:sz w:val="28"/>
        </w:rPr>
        <w:t xml:space="preserve"> ).</w:t>
      </w:r>
    </w:p>
    <w:p w14:paraId="13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отношении каждой семьи, разработана и реализуется индивидуальная комплексная программа реабилитации семьи, которая включают мероприятия, направленные на позитивные изменения в семье, способствующие нормальному воспитанию, развитию, содержанию детей в семье. Мероприятия проводятся всеми субъектами системы профилактики безнадзорности и правонарушений несовершеннолетних. Все семьи, состоящие на учёте в банке данных семей, находящихся в социально опасном положении, посещаются представителями органов системы профилактики для обеспечения безопасности детей, устранения условий, </w:t>
      </w:r>
      <w:r>
        <w:rPr>
          <w:rFonts w:ascii="Times New Roman" w:hAnsi="Times New Roman"/>
          <w:sz w:val="28"/>
        </w:rPr>
        <w:t xml:space="preserve">способствующих неисполнению родительских обязанностей, нарушению прав и интересов детей в этих семьях. </w:t>
      </w:r>
    </w:p>
    <w:p w14:paraId="14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2024</w:t>
      </w:r>
      <w:r>
        <w:rPr>
          <w:rFonts w:ascii="Times New Roman" w:hAnsi="Times New Roman"/>
          <w:sz w:val="28"/>
        </w:rPr>
        <w:t xml:space="preserve"> год </w:t>
      </w:r>
      <w:r>
        <w:rPr>
          <w:rFonts w:ascii="Times New Roman" w:hAnsi="Times New Roman"/>
          <w:sz w:val="28"/>
        </w:rPr>
        <w:t xml:space="preserve">комиссия </w:t>
      </w:r>
      <w:r>
        <w:rPr>
          <w:rFonts w:ascii="Times New Roman" w:hAnsi="Times New Roman"/>
          <w:sz w:val="28"/>
        </w:rPr>
        <w:t xml:space="preserve">вышла в суд с иском о лишении родительских прав 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(АППГ – 3) </w:t>
      </w:r>
      <w:r>
        <w:rPr>
          <w:rFonts w:ascii="Times New Roman" w:hAnsi="Times New Roman"/>
          <w:sz w:val="28"/>
        </w:rPr>
        <w:t xml:space="preserve">семей, об ограничении в родительских правах 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sz w:val="28"/>
        </w:rPr>
        <w:t xml:space="preserve"> (АППГ – 1) семьи.</w:t>
      </w:r>
    </w:p>
    <w:p w14:paraId="15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Органами системы профилактики с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истематически осуществляются проверки многодетных, малоимущих семей, а также лиц, склонных к бытовому насилию, и имеющих в семье несовершеннолетних детей.</w:t>
      </w:r>
    </w:p>
    <w:p w14:paraId="16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результате рейдов были посещены 37 семей находящихс</w:t>
      </w:r>
      <w:r>
        <w:rPr>
          <w:rFonts w:ascii="Times New Roman" w:hAnsi="Times New Roman"/>
          <w:sz w:val="28"/>
        </w:rPr>
        <w:t>я в социально опасном положении, в них проживает 85 н</w:t>
      </w:r>
      <w:r>
        <w:rPr>
          <w:rFonts w:ascii="Times New Roman" w:hAnsi="Times New Roman"/>
          <w:sz w:val="28"/>
        </w:rPr>
        <w:t>есовершеннолетних; 630 многодетных семей, в которых проживают 2015 детей; 128 семьи, находящи</w:t>
      </w:r>
      <w:r>
        <w:rPr>
          <w:rFonts w:ascii="Times New Roman" w:hAnsi="Times New Roman"/>
          <w:sz w:val="28"/>
        </w:rPr>
        <w:t>хся в трудной жизненной ситуации, в них проживают 276 детей; 305 семей с детьми инвалидами. Посещены 58 несо</w:t>
      </w:r>
      <w:r>
        <w:rPr>
          <w:rFonts w:ascii="Times New Roman" w:hAnsi="Times New Roman"/>
          <w:sz w:val="28"/>
        </w:rPr>
        <w:t>вершеннолетних, состоящих на учёте в КДНиЗП.</w:t>
      </w:r>
    </w:p>
    <w:p w14:paraId="17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Родители (законные представители) несовершеннолетних предупреждены о персональной ответственности за жизнь и здоровье несовершеннолетних детей, недопустимости оставления их в потенциально опасных местах без присмотра, правилах поведения на водных объектах, дороге, транспорте, соблюдении мер пожарной безопасности, недопущения фактов жестокого обращения с детьми.</w:t>
      </w:r>
    </w:p>
    <w:p w14:paraId="18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2024 году в 1 семье частично заменена электропроводка, в 1 семье проведён ремонт газового оборудования, 1 семье отремонтирована печь, в 42 семьях установили автономные пожарные извещатели, </w:t>
      </w:r>
      <w:r>
        <w:rPr>
          <w:rFonts w:ascii="Times New Roman" w:hAnsi="Times New Roman"/>
          <w:sz w:val="28"/>
        </w:rPr>
        <w:t>отремонтировано 12 пожарных извещателей.</w:t>
      </w:r>
    </w:p>
    <w:p w14:paraId="19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процессе рейдов</w:t>
      </w:r>
      <w:r>
        <w:rPr>
          <w:rFonts w:ascii="Times New Roman" w:hAnsi="Times New Roman"/>
          <w:sz w:val="28"/>
        </w:rPr>
        <w:t xml:space="preserve"> разданы 1081 памятка по предупреждению жестокого обращения в семье, соблюдению правил пожарной безопасности, соблюдению </w:t>
      </w:r>
      <w:r>
        <w:rPr>
          <w:rFonts w:ascii="Times New Roman" w:hAnsi="Times New Roman"/>
          <w:sz w:val="28"/>
        </w:rPr>
        <w:t>норм областного закона от 16.12.2009  № 346-ЗС «О мерах по предупреждению причинения вреда здоровью детей, их физич</w:t>
      </w:r>
      <w:r>
        <w:rPr>
          <w:rFonts w:ascii="Times New Roman" w:hAnsi="Times New Roman"/>
          <w:sz w:val="28"/>
        </w:rPr>
        <w:t>ескому, интеллектуальному, психическому, духовному и нравственному развитию».</w:t>
      </w:r>
    </w:p>
    <w:p w14:paraId="1A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проведения рейдов в семьи, находящи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>ся в социально опасном положении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приняты меры социальной и материальной помощи, проведены консультации по вопросам обучения и воспитания, 4 ребёнка прошли ПМПК для определения образовательного маршрута, 3 несовершеннолетним оказана коррекционная помощь, 12 детям оказана консультационная помощь психолога, оказана помощь в оформлении материального пособия в УСЗН, устройство в лагерь «Орленок»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организована </w:t>
      </w:r>
      <w:r>
        <w:rPr>
          <w:rFonts w:ascii="Times New Roman" w:hAnsi="Times New Roman"/>
          <w:sz w:val="28"/>
        </w:rPr>
        <w:t>вы</w:t>
      </w:r>
      <w:r>
        <w:rPr>
          <w:rFonts w:ascii="Times New Roman" w:hAnsi="Times New Roman"/>
          <w:sz w:val="28"/>
        </w:rPr>
        <w:t xml:space="preserve">дача </w:t>
      </w:r>
      <w:r>
        <w:rPr>
          <w:rFonts w:ascii="Times New Roman" w:hAnsi="Times New Roman"/>
          <w:sz w:val="28"/>
        </w:rPr>
        <w:t>путёвок от министерства общего и профессионального образования Ростовской области</w:t>
      </w:r>
      <w:r>
        <w:rPr>
          <w:rFonts w:ascii="Times New Roman" w:hAnsi="Times New Roman"/>
          <w:sz w:val="28"/>
        </w:rPr>
        <w:t>.</w:t>
      </w:r>
    </w:p>
    <w:p w14:paraId="1B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путевкам, закупленным УСЗН Белокалитвинского района, оздоровлен</w:t>
      </w:r>
      <w:r>
        <w:rPr>
          <w:rFonts w:ascii="Times New Roman" w:hAnsi="Times New Roman"/>
          <w:sz w:val="28"/>
        </w:rPr>
        <w:t xml:space="preserve">о </w:t>
      </w:r>
      <w:r>
        <w:rPr>
          <w:rFonts w:ascii="Times New Roman" w:hAnsi="Times New Roman"/>
          <w:sz w:val="28"/>
        </w:rPr>
        <w:t>в загородных и санаторных лагерях 13 детей, состоящих на различных видах учета,</w:t>
      </w:r>
      <w:r>
        <w:rPr>
          <w:rFonts w:ascii="Times New Roman" w:hAnsi="Times New Roman"/>
          <w:spacing w:val="8"/>
          <w:sz w:val="28"/>
        </w:rPr>
        <w:t xml:space="preserve"> в том числе: </w:t>
      </w:r>
      <w:r>
        <w:rPr>
          <w:rFonts w:ascii="Times New Roman" w:hAnsi="Times New Roman"/>
          <w:spacing w:val="8"/>
          <w:sz w:val="28"/>
        </w:rPr>
        <w:t xml:space="preserve">11 </w:t>
      </w:r>
      <w:r>
        <w:rPr>
          <w:rFonts w:ascii="Times New Roman" w:hAnsi="Times New Roman"/>
          <w:spacing w:val="8"/>
          <w:sz w:val="28"/>
        </w:rPr>
        <w:t>детей</w:t>
      </w:r>
      <w:r>
        <w:rPr>
          <w:rFonts w:ascii="Times New Roman" w:hAnsi="Times New Roman"/>
          <w:spacing w:val="8"/>
          <w:sz w:val="28"/>
        </w:rPr>
        <w:t>,</w:t>
      </w:r>
      <w:r>
        <w:rPr>
          <w:rFonts w:ascii="Times New Roman" w:hAnsi="Times New Roman"/>
          <w:spacing w:val="8"/>
          <w:sz w:val="28"/>
        </w:rPr>
        <w:t xml:space="preserve"> находящихся в </w:t>
      </w:r>
      <w:r>
        <w:rPr>
          <w:rFonts w:ascii="Times New Roman" w:hAnsi="Times New Roman"/>
          <w:sz w:val="28"/>
        </w:rPr>
        <w:t>социально опасном положении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2 детей, состоящих на учете в комиссии по делам несовершеннолетних. </w:t>
      </w:r>
      <w:r>
        <w:rPr>
          <w:rFonts w:ascii="Times New Roman" w:hAnsi="Times New Roman"/>
          <w:b w:val="0"/>
          <w:sz w:val="28"/>
        </w:rPr>
        <w:t>З</w:t>
      </w:r>
      <w:r>
        <w:rPr>
          <w:rFonts w:ascii="Times New Roman" w:hAnsi="Times New Roman"/>
          <w:b w:val="0"/>
          <w:sz w:val="28"/>
        </w:rPr>
        <w:t>а 2024 год м</w:t>
      </w:r>
      <w:r>
        <w:rPr>
          <w:rFonts w:ascii="Times New Roman" w:hAnsi="Times New Roman"/>
          <w:b w:val="0"/>
          <w:sz w:val="28"/>
        </w:rPr>
        <w:t xml:space="preserve">еры социальной поддержки через УСЗН Белокалитвинского района семьям находящимся в социально опасном положении оказаны на </w:t>
      </w:r>
      <w:r>
        <w:rPr>
          <w:rFonts w:ascii="Times New Roman" w:hAnsi="Times New Roman"/>
          <w:b w:val="0"/>
          <w:sz w:val="28"/>
        </w:rPr>
        <w:t>сумму  1114839,92 руб.</w:t>
      </w:r>
      <w:r>
        <w:rPr>
          <w:rFonts w:ascii="Times New Roman" w:hAnsi="Times New Roman"/>
          <w:sz w:val="28"/>
        </w:rPr>
        <w:t xml:space="preserve"> Решением комиссии по оказанию адресной социальной помощи</w:t>
      </w:r>
      <w:r>
        <w:rPr>
          <w:rFonts w:ascii="Times New Roman" w:hAnsi="Times New Roman"/>
          <w:sz w:val="28"/>
        </w:rPr>
        <w:t xml:space="preserve"> 1 семье, проживающей в ст. Краснодонецкая, выделена государственная помощь на основании социального контракта в мае 2024 в размере 200000,00 руб. на ведение личного подсобного хозяйства и реализации продукции ЛПХ. В предверии учебного года 2024-2025  27 несовершеннолетним выданы школьные принадлежности. </w:t>
      </w:r>
      <w:r>
        <w:rPr>
          <w:rFonts w:ascii="Times New Roman" w:hAnsi="Times New Roman"/>
          <w:sz w:val="28"/>
        </w:rPr>
        <w:t>Для всех детей из семей, находящихся в социально-опасном положении была организована летняя занятость в летних</w:t>
      </w:r>
      <w:r>
        <w:rPr>
          <w:rFonts w:ascii="Times New Roman" w:hAnsi="Times New Roman"/>
          <w:sz w:val="28"/>
        </w:rPr>
        <w:t xml:space="preserve"> пришкольных</w:t>
      </w:r>
      <w:r>
        <w:rPr>
          <w:rFonts w:ascii="Times New Roman" w:hAnsi="Times New Roman"/>
          <w:sz w:val="28"/>
        </w:rPr>
        <w:t xml:space="preserve"> оздоровительных лагерях</w:t>
      </w:r>
      <w:r>
        <w:rPr>
          <w:rFonts w:ascii="Times New Roman" w:hAnsi="Times New Roman"/>
          <w:sz w:val="28"/>
        </w:rPr>
        <w:t xml:space="preserve">. Через ЦЗН трудоустроено 3 </w:t>
      </w:r>
      <w:r>
        <w:rPr>
          <w:rFonts w:ascii="Times New Roman" w:hAnsi="Times New Roman"/>
          <w:b w:val="0"/>
          <w:sz w:val="28"/>
        </w:rPr>
        <w:t xml:space="preserve">взрослых и 3 несовершеннолетних временно из семей СОП. </w:t>
      </w:r>
      <w:r>
        <w:rPr>
          <w:rFonts w:ascii="Times New Roman" w:hAnsi="Times New Roman"/>
          <w:sz w:val="28"/>
        </w:rPr>
        <w:t xml:space="preserve"> 2 семьям предоставлены места в детских садах.</w:t>
      </w:r>
    </w:p>
    <w:p w14:paraId="1C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Принимаются меры по оказанию помощи семьям с детьми, оказавшимися в трудной жизненной ситуации. В случае необходимости дети помещаются в ГБУСОН РО «Социально-реабилитационный центр для несовершеннолетних Белокалитвинского района». </w:t>
      </w:r>
    </w:p>
    <w:p w14:paraId="1D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социальном сопровождении состоит 97 (АППГ - </w:t>
      </w:r>
      <w:r>
        <w:rPr>
          <w:rFonts w:ascii="Times New Roman" w:hAnsi="Times New Roman"/>
          <w:sz w:val="28"/>
        </w:rPr>
        <w:t>129)</w:t>
      </w:r>
      <w:r>
        <w:rPr>
          <w:rFonts w:ascii="Times New Roman" w:hAnsi="Times New Roman"/>
          <w:sz w:val="28"/>
        </w:rPr>
        <w:t xml:space="preserve"> семей.</w:t>
      </w:r>
    </w:p>
    <w:p w14:paraId="1E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родителями несовершеннолетних проводится просветительская и разъяснительная работа, которая осуществляется как в рамках проведения родительских собраний, всеобуча, также и индивидуальных бесед. Специалистами органа опеки и попечительства было проведено порядка 500 бесед с родителями об исполнении ими родительских обязанностей и об ответственности за неисполнение или ненадлежащее исполнение обязанностей по воспитанию, содержанию, обучению, защите прав и интересов детей.</w:t>
      </w:r>
    </w:p>
    <w:p w14:paraId="1F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заседании комиссии за неисполнение обязанностей по воспитанию, содержанию, обучению детей за 2024</w:t>
      </w:r>
      <w:r>
        <w:rPr>
          <w:rFonts w:ascii="Times New Roman" w:hAnsi="Times New Roman"/>
          <w:sz w:val="28"/>
        </w:rPr>
        <w:t xml:space="preserve"> год рассмотрено 206</w:t>
      </w:r>
      <w:r>
        <w:rPr>
          <w:rFonts w:ascii="Times New Roman" w:hAnsi="Times New Roman"/>
          <w:sz w:val="28"/>
        </w:rPr>
        <w:t xml:space="preserve"> дел</w:t>
      </w:r>
      <w:r>
        <w:rPr>
          <w:rFonts w:ascii="Times New Roman" w:hAnsi="Times New Roman"/>
          <w:sz w:val="28"/>
        </w:rPr>
        <w:t xml:space="preserve"> об административном правонарушении, предусмотренном ч. 1 ст. 5.35</w:t>
      </w:r>
      <w:r>
        <w:rPr>
          <w:rFonts w:ascii="Times New Roman" w:hAnsi="Times New Roman"/>
          <w:sz w:val="28"/>
        </w:rPr>
        <w:t xml:space="preserve"> «Не испол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ение родителями или иными законными представителями несовершеннолетних обязанностей по содержанию и воспитанию несовершеннолетних»</w:t>
      </w:r>
      <w:r>
        <w:rPr>
          <w:rFonts w:ascii="Times New Roman" w:hAnsi="Times New Roman"/>
          <w:sz w:val="28"/>
        </w:rPr>
        <w:t xml:space="preserve"> Кодекса РФ об административных правонарушениях. Родители привлечены к административной ответственности.</w:t>
      </w:r>
    </w:p>
    <w:p w14:paraId="20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Комиссия рассматривает на заседании все факты самовольных уходов несовершеннолетних. На заседание комиссии приглашаются несовершеннолетние и их родители (законные представители). Выясняются причины самовольного ухода несовершеннолетнего. Комиссия по делам несовершеннолетних и защите их прав анализирует ежеквартально состояние работы органов и учреждений системы профилактики по предупреждению самовольных уходов несовершеннолетних из семей и государственных организаций, разрабатывает меры по повышению эффективности работы по профилактике самовольных уходов несовершеннолетних.</w:t>
      </w:r>
    </w:p>
    <w:p w14:paraId="21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2024</w:t>
      </w:r>
      <w:r>
        <w:rPr>
          <w:rFonts w:ascii="Times New Roman" w:hAnsi="Times New Roman"/>
          <w:sz w:val="28"/>
        </w:rPr>
        <w:t xml:space="preserve"> год совершено 6</w:t>
      </w:r>
      <w:r>
        <w:rPr>
          <w:rFonts w:ascii="Times New Roman" w:hAnsi="Times New Roman"/>
          <w:sz w:val="28"/>
        </w:rPr>
        <w:t xml:space="preserve"> самовольных уходов с участием 8 несовершеннолетних</w:t>
      </w:r>
      <w:r>
        <w:rPr>
          <w:rFonts w:ascii="Times New Roman" w:hAnsi="Times New Roman"/>
          <w:sz w:val="28"/>
        </w:rPr>
        <w:t xml:space="preserve"> (в 2023 году совершено 10 самовольных уходов </w:t>
      </w:r>
      <w:r>
        <w:rPr>
          <w:rFonts w:ascii="Times New Roman" w:hAnsi="Times New Roman"/>
          <w:sz w:val="28"/>
        </w:rPr>
        <w:t xml:space="preserve"> с участием 11 несовершеннолетних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 Все</w:t>
      </w:r>
      <w:r>
        <w:rPr>
          <w:rFonts w:ascii="Times New Roman" w:hAnsi="Times New Roman"/>
          <w:sz w:val="28"/>
        </w:rPr>
        <w:t xml:space="preserve"> самовольные</w:t>
      </w:r>
      <w:r>
        <w:rPr>
          <w:rFonts w:ascii="Times New Roman" w:hAnsi="Times New Roman"/>
          <w:sz w:val="28"/>
        </w:rPr>
        <w:t xml:space="preserve"> уходы</w:t>
      </w:r>
      <w:r>
        <w:rPr>
          <w:rFonts w:ascii="Times New Roman" w:hAnsi="Times New Roman"/>
          <w:sz w:val="28"/>
        </w:rPr>
        <w:t xml:space="preserve"> совершен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из семьи.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Два самовольных ухода совершены повторно. </w:t>
      </w:r>
      <w:r>
        <w:rPr>
          <w:rFonts w:ascii="Times New Roman" w:hAnsi="Times New Roman"/>
          <w:sz w:val="28"/>
        </w:rPr>
        <w:t xml:space="preserve">Каждый случай самовольного ухода рассмотрен на заседании </w:t>
      </w:r>
      <w:r>
        <w:rPr>
          <w:rFonts w:ascii="Times New Roman" w:hAnsi="Times New Roman"/>
          <w:sz w:val="28"/>
        </w:rPr>
        <w:t>комиссии</w:t>
      </w:r>
      <w:r>
        <w:rPr>
          <w:rFonts w:ascii="Times New Roman" w:hAnsi="Times New Roman"/>
          <w:sz w:val="28"/>
        </w:rPr>
        <w:t xml:space="preserve">, выяснены причины ухода. На учёт поставлено 5 несовершеннолетних. Разработаны </w:t>
      </w:r>
      <w:r>
        <w:rPr>
          <w:rFonts w:ascii="Times New Roman" w:hAnsi="Times New Roman"/>
          <w:sz w:val="28"/>
        </w:rPr>
        <w:t xml:space="preserve">программы </w:t>
      </w:r>
      <w:r>
        <w:rPr>
          <w:rFonts w:ascii="Times New Roman" w:hAnsi="Times New Roman"/>
          <w:sz w:val="28"/>
        </w:rPr>
        <w:t>ИКПР с несовершеннолетними, всем органам системы профилактики даны рекомендации по работе с несовершеннолетним.</w:t>
      </w:r>
    </w:p>
    <w:p w14:paraId="22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Несовершеннолетним и их семьям оказывается педагогическая, психологическая, правовая помощь в разрешении конфликтных ситуаций в семье. Организована работа по вовлечению подростков, склонных к совершению самовольных уходов, в</w:t>
      </w:r>
      <w:r>
        <w:rPr>
          <w:rFonts w:ascii="Times New Roman" w:hAnsi="Times New Roman"/>
          <w:sz w:val="28"/>
        </w:rPr>
        <w:t xml:space="preserve"> досуговую</w:t>
      </w:r>
      <w:r>
        <w:rPr>
          <w:rFonts w:ascii="Times New Roman" w:hAnsi="Times New Roman"/>
          <w:sz w:val="28"/>
        </w:rPr>
        <w:t xml:space="preserve"> деятельность. К работе с детьми данной категории подключены школьные психологи, специалисты </w:t>
      </w:r>
      <w:r>
        <w:rPr>
          <w:rFonts w:ascii="Times New Roman" w:hAnsi="Times New Roman"/>
          <w:sz w:val="28"/>
        </w:rPr>
        <w:t xml:space="preserve">Центр психолого-педагогической, медицинской, социальной помощи </w:t>
      </w:r>
      <w:r>
        <w:rPr>
          <w:rFonts w:ascii="Times New Roman" w:hAnsi="Times New Roman"/>
          <w:sz w:val="28"/>
        </w:rPr>
        <w:t xml:space="preserve">сопровождения. Инспекторами </w:t>
      </w:r>
      <w:r>
        <w:rPr>
          <w:rFonts w:ascii="Times New Roman" w:hAnsi="Times New Roman"/>
          <w:sz w:val="28"/>
        </w:rPr>
        <w:t>отдела полиции по делам несовершеннолетних</w:t>
      </w:r>
      <w:r>
        <w:rPr>
          <w:rFonts w:ascii="Times New Roman" w:hAnsi="Times New Roman"/>
          <w:sz w:val="28"/>
        </w:rPr>
        <w:t xml:space="preserve"> проводятся профилактические беседы, направленные на предупреждение самовольных уходов несовершеннолетних из семьи и государственных учреждений.</w:t>
      </w:r>
    </w:p>
    <w:p w14:paraId="23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Сравнивая, состояние самовольных уходов несовершеннолетних за 2024</w:t>
      </w:r>
      <w:r>
        <w:rPr>
          <w:rFonts w:ascii="Times New Roman" w:hAnsi="Times New Roman"/>
          <w:sz w:val="28"/>
        </w:rPr>
        <w:t xml:space="preserve"> года с аналогичным периодом 2023</w:t>
      </w:r>
      <w:r>
        <w:rPr>
          <w:rFonts w:ascii="Times New Roman" w:hAnsi="Times New Roman"/>
          <w:sz w:val="28"/>
        </w:rPr>
        <w:t xml:space="preserve"> года, следует отметить, что произошло </w:t>
      </w:r>
      <w:r>
        <w:rPr>
          <w:rFonts w:ascii="Times New Roman" w:hAnsi="Times New Roman"/>
          <w:sz w:val="28"/>
        </w:rPr>
        <w:t>уменьшение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самовольных уходов</w:t>
      </w:r>
      <w:r>
        <w:rPr>
          <w:rFonts w:ascii="Times New Roman" w:hAnsi="Times New Roman"/>
          <w:sz w:val="28"/>
        </w:rPr>
        <w:t xml:space="preserve"> из дома, а из </w:t>
      </w:r>
      <w:r>
        <w:rPr>
          <w:rFonts w:ascii="Times New Roman" w:hAnsi="Times New Roman"/>
          <w:sz w:val="28"/>
        </w:rPr>
        <w:t>государственных учреждений вовсе нет.</w:t>
      </w:r>
    </w:p>
    <w:p w14:paraId="24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Комиссией по делам несовершеннолетних и защите их прав организовано проведение межведомственных рейдов по профилактике пьянства и наркомании среди несовершеннолетних, по выявлению фактов реализации алкогольной продукции несовершеннолетним, в ходе которых выявляются несовершеннолетние употребляющие алкогольную продукцию и лица вовлекающие несовершеннолетних в употребление алкоголя, наркотических средств и психотропных веществ. </w:t>
      </w:r>
    </w:p>
    <w:p w14:paraId="25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</w:t>
      </w:r>
      <w:r>
        <w:rPr>
          <w:rFonts w:ascii="Times New Roman" w:hAnsi="Times New Roman"/>
          <w:sz w:val="28"/>
        </w:rPr>
        <w:t>2024</w:t>
      </w:r>
      <w:r>
        <w:rPr>
          <w:rFonts w:ascii="Times New Roman" w:hAnsi="Times New Roman"/>
          <w:sz w:val="28"/>
        </w:rPr>
        <w:t xml:space="preserve"> год </w:t>
      </w:r>
      <w:r>
        <w:rPr>
          <w:rFonts w:ascii="Times New Roman" w:hAnsi="Times New Roman"/>
          <w:sz w:val="28"/>
        </w:rPr>
        <w:t>к административной ответственности</w:t>
      </w:r>
      <w:r>
        <w:rPr>
          <w:rFonts w:ascii="Times New Roman" w:hAnsi="Times New Roman"/>
          <w:sz w:val="28"/>
        </w:rPr>
        <w:t xml:space="preserve"> привлечено </w:t>
      </w:r>
      <w:r>
        <w:rPr>
          <w:rFonts w:ascii="Times New Roman" w:hAnsi="Times New Roman"/>
          <w:sz w:val="28"/>
        </w:rPr>
        <w:t>69</w:t>
      </w:r>
      <w:r>
        <w:rPr>
          <w:rFonts w:ascii="Times New Roman" w:hAnsi="Times New Roman"/>
          <w:sz w:val="28"/>
        </w:rPr>
        <w:t xml:space="preserve"> несовершеннолетних или их законных представите</w:t>
      </w:r>
      <w:r>
        <w:rPr>
          <w:rFonts w:ascii="Times New Roman" w:hAnsi="Times New Roman"/>
          <w:sz w:val="28"/>
        </w:rPr>
        <w:t>лей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по ст. 20.20 </w:t>
      </w:r>
      <w:r>
        <w:rPr>
          <w:rFonts w:ascii="Times New Roman" w:hAnsi="Times New Roman"/>
          <w:sz w:val="28"/>
        </w:rPr>
        <w:t xml:space="preserve">«Потребление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психоактивных веществ или одурманивающих веществ в общественных местах» </w:t>
      </w:r>
      <w:r>
        <w:rPr>
          <w:rFonts w:ascii="Times New Roman" w:hAnsi="Times New Roman"/>
          <w:sz w:val="28"/>
        </w:rPr>
        <w:t xml:space="preserve">– привлечено 13 (АППГ - </w:t>
      </w:r>
      <w:r>
        <w:rPr>
          <w:rFonts w:ascii="Times New Roman" w:hAnsi="Times New Roman"/>
          <w:sz w:val="28"/>
        </w:rPr>
        <w:t>3)</w:t>
      </w:r>
      <w:r>
        <w:rPr>
          <w:rFonts w:ascii="Times New Roman" w:hAnsi="Times New Roman"/>
          <w:sz w:val="28"/>
        </w:rPr>
        <w:t xml:space="preserve"> несовершеннолетних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по ст. 20.21 </w:t>
      </w:r>
      <w:r>
        <w:rPr>
          <w:rFonts w:ascii="Times New Roman" w:hAnsi="Times New Roman"/>
          <w:sz w:val="28"/>
        </w:rPr>
        <w:t xml:space="preserve">«Появление в общественных местах </w:t>
      </w:r>
      <w:r>
        <w:rPr>
          <w:rFonts w:ascii="Times New Roman" w:hAnsi="Times New Roman"/>
          <w:sz w:val="28"/>
        </w:rPr>
        <w:t xml:space="preserve">в состоянии опьянения» </w:t>
      </w:r>
      <w:r>
        <w:rPr>
          <w:rFonts w:ascii="Times New Roman" w:hAnsi="Times New Roman"/>
          <w:sz w:val="28"/>
        </w:rPr>
        <w:t>– прив</w:t>
      </w:r>
      <w:r>
        <w:rPr>
          <w:rFonts w:ascii="Times New Roman" w:hAnsi="Times New Roman"/>
          <w:sz w:val="28"/>
        </w:rPr>
        <w:t xml:space="preserve">лечено </w:t>
      </w:r>
      <w:r>
        <w:rPr>
          <w:rFonts w:ascii="Times New Roman" w:hAnsi="Times New Roman"/>
          <w:sz w:val="28"/>
        </w:rPr>
        <w:t>31 (АППГ - 32)</w:t>
      </w:r>
      <w:r>
        <w:rPr>
          <w:rFonts w:ascii="Times New Roman" w:hAnsi="Times New Roman"/>
          <w:sz w:val="28"/>
        </w:rPr>
        <w:t xml:space="preserve"> несовершеннолетних и 17 (АППГ - </w:t>
      </w:r>
      <w:r>
        <w:rPr>
          <w:rFonts w:ascii="Times New Roman" w:hAnsi="Times New Roman"/>
          <w:sz w:val="28"/>
        </w:rPr>
        <w:t>34)</w:t>
      </w:r>
      <w:r>
        <w:rPr>
          <w:rFonts w:ascii="Times New Roman" w:hAnsi="Times New Roman"/>
          <w:sz w:val="28"/>
        </w:rPr>
        <w:t xml:space="preserve"> родител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привлечены </w:t>
      </w:r>
      <w:r>
        <w:rPr>
          <w:rFonts w:ascii="Times New Roman" w:hAnsi="Times New Roman"/>
          <w:sz w:val="28"/>
        </w:rPr>
        <w:t>по ст.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20.22 </w:t>
      </w:r>
      <w:r>
        <w:rPr>
          <w:rFonts w:ascii="Times New Roman" w:hAnsi="Times New Roman"/>
          <w:sz w:val="28"/>
        </w:rPr>
        <w:t xml:space="preserve">«Нахождение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психоактивных веществ или одурманивающих веществ» </w:t>
      </w:r>
      <w:r>
        <w:rPr>
          <w:rFonts w:ascii="Times New Roman" w:hAnsi="Times New Roman"/>
          <w:sz w:val="28"/>
        </w:rPr>
        <w:t xml:space="preserve">КРФ об АП), а также </w:t>
      </w:r>
      <w:r>
        <w:rPr>
          <w:rFonts w:ascii="Times New Roman" w:hAnsi="Times New Roman"/>
          <w:sz w:val="28"/>
        </w:rPr>
        <w:t xml:space="preserve">по ст. 6.10 кодекса Российской Федерации об административных правонарушениях привлечены </w:t>
      </w: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 xml:space="preserve"> взрослых вовлекающих несовершеннолетних в употребление алкоголя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 2023</w:t>
      </w:r>
      <w:r>
        <w:rPr>
          <w:rFonts w:ascii="Times New Roman" w:hAnsi="Times New Roman"/>
          <w:sz w:val="28"/>
        </w:rPr>
        <w:t xml:space="preserve"> год привлечено 10 </w:t>
      </w:r>
      <w:r>
        <w:rPr>
          <w:rFonts w:ascii="Times New Roman" w:hAnsi="Times New Roman"/>
          <w:sz w:val="28"/>
        </w:rPr>
        <w:t>взрослых вовлекающих несовершеннолетних в употребление алкоголя</w:t>
      </w:r>
      <w:r>
        <w:rPr>
          <w:rFonts w:ascii="Times New Roman" w:hAnsi="Times New Roman"/>
          <w:sz w:val="28"/>
        </w:rPr>
        <w:t xml:space="preserve">). </w:t>
      </w:r>
      <w:r>
        <w:rPr>
          <w:rFonts w:ascii="Times New Roman" w:hAnsi="Times New Roman"/>
          <w:sz w:val="28"/>
        </w:rPr>
        <w:t>На родителей (законных представителей), несовершеннолетних, а также иных лиц, были составлены протоколы об административных правонарушениях, предусмотренных Ко</w:t>
      </w:r>
      <w:r>
        <w:rPr>
          <w:rFonts w:ascii="Times New Roman" w:hAnsi="Times New Roman"/>
          <w:sz w:val="28"/>
        </w:rPr>
        <w:t>дексом</w:t>
      </w:r>
      <w:r>
        <w:rPr>
          <w:rFonts w:ascii="Times New Roman" w:hAnsi="Times New Roman"/>
          <w:sz w:val="28"/>
        </w:rPr>
        <w:t xml:space="preserve"> Российской Федерации об административных правонарушениях, которые были рассмотрены на заседании муниципальной межведомственной комиссии по делам несовершеннолетних и защите их прав и применены меры административного наказания.</w:t>
      </w:r>
    </w:p>
    <w:p w14:paraId="26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</w:t>
      </w:r>
      <w:r>
        <w:rPr>
          <w:rFonts w:ascii="Times New Roman" w:hAnsi="Times New Roman"/>
          <w:sz w:val="28"/>
        </w:rPr>
        <w:t>2024</w:t>
      </w:r>
      <w:r>
        <w:rPr>
          <w:rFonts w:ascii="Times New Roman" w:hAnsi="Times New Roman"/>
          <w:sz w:val="28"/>
        </w:rPr>
        <w:t xml:space="preserve"> год выявлено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факт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употребления наркотических веществ среди несовершеннолетних</w:t>
      </w:r>
      <w:r>
        <w:rPr>
          <w:rFonts w:ascii="Times New Roman" w:hAnsi="Times New Roman"/>
          <w:sz w:val="28"/>
        </w:rPr>
        <w:t xml:space="preserve"> (в сравнении с 2023</w:t>
      </w:r>
      <w:r>
        <w:rPr>
          <w:rFonts w:ascii="Times New Roman" w:hAnsi="Times New Roman"/>
          <w:sz w:val="28"/>
        </w:rPr>
        <w:t xml:space="preserve"> годом – 6</w:t>
      </w:r>
      <w:r>
        <w:rPr>
          <w:rFonts w:ascii="Times New Roman" w:hAnsi="Times New Roman"/>
          <w:sz w:val="28"/>
        </w:rPr>
        <w:t xml:space="preserve">). </w:t>
      </w:r>
      <w:r>
        <w:rPr>
          <w:rFonts w:ascii="Times New Roman" w:hAnsi="Times New Roman"/>
          <w:sz w:val="28"/>
        </w:rPr>
        <w:t xml:space="preserve">На несовершеннолетних составлены протоколы об административных правонарушениях, предусмотренных Кодекса Российской Федерации об административных правонарушениях по ст. 6.9, рассмотрены на заседании </w:t>
      </w:r>
      <w:r>
        <w:rPr>
          <w:rFonts w:ascii="Times New Roman" w:hAnsi="Times New Roman"/>
          <w:sz w:val="28"/>
        </w:rPr>
        <w:t>комиссии</w:t>
      </w:r>
      <w:r>
        <w:rPr>
          <w:rFonts w:ascii="Times New Roman" w:hAnsi="Times New Roman"/>
          <w:sz w:val="28"/>
        </w:rPr>
        <w:t xml:space="preserve">. По итогам рассмотрения комиссией принято решение о постановке несовершеннолетних на учёт в </w:t>
      </w:r>
      <w:r>
        <w:rPr>
          <w:rFonts w:ascii="Times New Roman" w:hAnsi="Times New Roman"/>
          <w:sz w:val="28"/>
        </w:rPr>
        <w:t>комиссии</w:t>
      </w:r>
      <w:r>
        <w:rPr>
          <w:rFonts w:ascii="Times New Roman" w:hAnsi="Times New Roman"/>
          <w:sz w:val="28"/>
        </w:rPr>
        <w:t xml:space="preserve"> и постановке их на наркологический учёт. Разработаны и реализуются программы ИПР.</w:t>
      </w:r>
    </w:p>
    <w:p w14:paraId="27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исполнения </w:t>
      </w:r>
      <w:r>
        <w:rPr>
          <w:rFonts w:ascii="Times New Roman" w:hAnsi="Times New Roman"/>
          <w:sz w:val="28"/>
        </w:rPr>
        <w:t>Областного закона от 16 декабря 2009 года № 346-ЗС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 мерах по предупреждению причинения вреда здоровью детей, их физическому, интеллектуальному, психическому, духовному и нравственному развитию» </w:t>
      </w:r>
      <w:r>
        <w:rPr>
          <w:rFonts w:ascii="Times New Roman" w:hAnsi="Times New Roman"/>
          <w:sz w:val="28"/>
        </w:rPr>
        <w:t xml:space="preserve">по утверждённому графику проводятся межведомственные рейды, в которых принимают участие представители комиссии по делам несовершеннолетних и защите их прав, органов внутренних дел, образования, здравоохранения, </w:t>
      </w:r>
      <w:r>
        <w:rPr>
          <w:rFonts w:ascii="Times New Roman" w:hAnsi="Times New Roman"/>
          <w:sz w:val="28"/>
        </w:rPr>
        <w:t xml:space="preserve">управления </w:t>
      </w:r>
      <w:r>
        <w:rPr>
          <w:rFonts w:ascii="Times New Roman" w:hAnsi="Times New Roman"/>
          <w:sz w:val="28"/>
        </w:rPr>
        <w:t xml:space="preserve">социальной защиты населения, занятости населения, казачьей дружины, Совета </w:t>
      </w:r>
      <w:r>
        <w:rPr>
          <w:rFonts w:ascii="Times New Roman" w:hAnsi="Times New Roman"/>
          <w:sz w:val="28"/>
        </w:rPr>
        <w:t>отцов при Администрации района.</w:t>
      </w:r>
    </w:p>
    <w:p w14:paraId="28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2024</w:t>
      </w:r>
      <w:r>
        <w:rPr>
          <w:rFonts w:ascii="Times New Roman" w:hAnsi="Times New Roman"/>
          <w:sz w:val="28"/>
        </w:rPr>
        <w:t xml:space="preserve"> год проведено </w:t>
      </w:r>
      <w:r>
        <w:rPr>
          <w:rFonts w:ascii="Times New Roman" w:hAnsi="Times New Roman"/>
          <w:sz w:val="28"/>
        </w:rPr>
        <w:t>100 (АППГ - 107)</w:t>
      </w:r>
      <w:r>
        <w:rPr>
          <w:rFonts w:ascii="Times New Roman" w:hAnsi="Times New Roman"/>
          <w:sz w:val="28"/>
        </w:rPr>
        <w:t xml:space="preserve"> рейд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>, выявлен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10 </w:t>
      </w:r>
      <w:r>
        <w:rPr>
          <w:rFonts w:ascii="Times New Roman" w:hAnsi="Times New Roman"/>
          <w:sz w:val="28"/>
        </w:rPr>
        <w:t>факт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 нахождения несовершеннолетних в ночное время после 22 часов в общественном месте без сопровождения родителей (</w:t>
      </w:r>
      <w:r>
        <w:rPr>
          <w:rFonts w:ascii="Times New Roman" w:hAnsi="Times New Roman"/>
          <w:sz w:val="28"/>
        </w:rPr>
        <w:t xml:space="preserve">За аналогичный период 2023 года выявлено 16 фактов). </w:t>
      </w:r>
      <w:r>
        <w:rPr>
          <w:rFonts w:ascii="Times New Roman" w:hAnsi="Times New Roman"/>
          <w:sz w:val="28"/>
        </w:rPr>
        <w:t>На родителей (законных представителей) несовершеннолетних были составлены протоколы об административных правонарушениях, предусмотренных ч. 1 ст. 5.35, Кодекса Российской Федерации об административных правонарушениях, которые были   рассмотрены на заседании комиссии</w:t>
      </w:r>
      <w:r>
        <w:rPr>
          <w:rFonts w:ascii="Times New Roman" w:hAnsi="Times New Roman"/>
          <w:sz w:val="28"/>
        </w:rPr>
        <w:t>.</w:t>
      </w:r>
    </w:p>
    <w:p w14:paraId="29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Комиссией ведётся большая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работ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 несовершеннолетними по правилам безопасности</w:t>
      </w:r>
      <w:r>
        <w:rPr>
          <w:rFonts w:ascii="Times New Roman" w:hAnsi="Times New Roman"/>
          <w:sz w:val="28"/>
        </w:rPr>
        <w:t xml:space="preserve"> на водных объектах</w:t>
      </w:r>
      <w:r>
        <w:rPr>
          <w:rFonts w:ascii="Times New Roman" w:hAnsi="Times New Roman"/>
          <w:sz w:val="28"/>
        </w:rPr>
        <w:t>. С 01.06.2024 по 31.08.2024 проводились межведомственные рейды на пляжах и местах купания представителями органов и учреждений системы профилактики совместно с управление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гражданской обороны и чрезвычайных ситуаций,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поисково-спасательн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служб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во внутренних водах и </w:t>
      </w:r>
      <w:r>
        <w:rPr>
          <w:rFonts w:ascii="Times New Roman" w:hAnsi="Times New Roman"/>
          <w:sz w:val="28"/>
        </w:rPr>
        <w:t>территориальном море, отделением казачьей дружины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согласно утверждённого графика. Составлено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протоколов на родителей несовершеннолетних, находящихся на водных объектах без сопровождения законных представителей, по ч. 1 ст. 5.35 КРФ об АП. Протоколы рассмотрены на заседании КДН и ЗП. К родителям (законным представителям) применены меры административного наказания. </w:t>
      </w:r>
    </w:p>
    <w:p w14:paraId="2A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счастью, в 2024 году ни один несовершеннолетний не утонул на территории Белокалитвинского района. К</w:t>
      </w:r>
      <w:r>
        <w:rPr>
          <w:rFonts w:ascii="Times New Roman" w:hAnsi="Times New Roman"/>
          <w:sz w:val="28"/>
        </w:rPr>
        <w:t xml:space="preserve"> сожалению</w:t>
      </w:r>
      <w:r>
        <w:rPr>
          <w:rFonts w:ascii="Times New Roman" w:hAnsi="Times New Roman"/>
          <w:sz w:val="28"/>
        </w:rPr>
        <w:t xml:space="preserve">, в </w:t>
      </w:r>
      <w:r>
        <w:rPr>
          <w:rFonts w:ascii="Times New Roman" w:hAnsi="Times New Roman"/>
          <w:sz w:val="28"/>
        </w:rPr>
        <w:t>2023</w:t>
      </w:r>
      <w:r>
        <w:rPr>
          <w:rFonts w:ascii="Times New Roman" w:hAnsi="Times New Roman"/>
          <w:sz w:val="28"/>
        </w:rPr>
        <w:t xml:space="preserve"> году </w:t>
      </w:r>
      <w:r>
        <w:rPr>
          <w:rFonts w:ascii="Times New Roman" w:hAnsi="Times New Roman"/>
          <w:sz w:val="28"/>
        </w:rPr>
        <w:t xml:space="preserve">утонул </w:t>
      </w:r>
      <w:r>
        <w:rPr>
          <w:rFonts w:ascii="Times New Roman" w:hAnsi="Times New Roman"/>
          <w:sz w:val="28"/>
        </w:rPr>
        <w:t>1 несовершеннолетний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Работа в данном направлении будет продолжена. </w:t>
      </w:r>
    </w:p>
    <w:p w14:paraId="2B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Комиссией </w:t>
      </w:r>
      <w:r>
        <w:rPr>
          <w:rFonts w:ascii="Times New Roman" w:hAnsi="Times New Roman"/>
          <w:sz w:val="28"/>
          <w:highlight w:val="white"/>
        </w:rPr>
        <w:t xml:space="preserve">проводится мониторинг количества постановлений о ходатайстве в суд о помещении несовершеннолетних, не подлежащих уголовной ответственности, в СУВУЗТ. </w:t>
      </w:r>
      <w:r>
        <w:rPr>
          <w:rFonts w:ascii="Times New Roman" w:hAnsi="Times New Roman"/>
          <w:sz w:val="28"/>
          <w:highlight w:val="white"/>
        </w:rPr>
        <w:t xml:space="preserve">В 2024 году КДНиЗП вынесено 1 постановление о направлении ходатайства </w:t>
      </w:r>
      <w:r>
        <w:rPr>
          <w:rFonts w:ascii="Times New Roman" w:hAnsi="Times New Roman"/>
          <w:sz w:val="28"/>
          <w:highlight w:val="white"/>
        </w:rPr>
        <w:t>в суд о помещении несовершеннолетней, не подлежащей уголовной ответственности, в СУВУЗТ. При подготовке медицинского обследования несовершеннолетней установлено заболевание входящее в перечень заболеваний препятствующих содержанию и обучению несовершеннолетних в СУВУЗТ. В 2023 году 1 несовершеннолетний направлен в СУВУЗТ</w:t>
      </w:r>
      <w:r>
        <w:rPr>
          <w:rFonts w:ascii="Times New Roman" w:hAnsi="Times New Roman"/>
          <w:sz w:val="28"/>
        </w:rPr>
        <w:t xml:space="preserve">. </w:t>
      </w:r>
    </w:p>
    <w:p w14:paraId="2C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Комиссией</w:t>
      </w:r>
      <w:r>
        <w:rPr>
          <w:rFonts w:ascii="Times New Roman" w:hAnsi="Times New Roman"/>
          <w:sz w:val="28"/>
        </w:rPr>
        <w:t xml:space="preserve"> ведётся профилактическая работа в области дорожного движения. На заседаниях комисси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>рассмотрен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32 (АППГ - 39)</w:t>
      </w:r>
      <w:r>
        <w:rPr>
          <w:rFonts w:ascii="Times New Roman" w:hAnsi="Times New Roman"/>
          <w:sz w:val="28"/>
        </w:rPr>
        <w:t xml:space="preserve"> протоколов по статьям главы 12 «Административные правонарушения в области дорожного движения</w:t>
      </w:r>
      <w:r>
        <w:rPr>
          <w:rFonts w:ascii="Times New Roman" w:hAnsi="Times New Roman"/>
          <w:sz w:val="28"/>
        </w:rPr>
        <w:t>» Кодекса Российской Федерации об административных правонарушениях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2 несовершеннолетних поставлены на учёт </w:t>
      </w:r>
      <w:r>
        <w:rPr>
          <w:rFonts w:ascii="Times New Roman" w:hAnsi="Times New Roman"/>
          <w:sz w:val="28"/>
        </w:rPr>
        <w:t xml:space="preserve">комиссии </w:t>
      </w:r>
      <w:r>
        <w:rPr>
          <w:rFonts w:ascii="Times New Roman" w:hAnsi="Times New Roman"/>
          <w:sz w:val="28"/>
        </w:rPr>
        <w:t xml:space="preserve">за управление транспортным средством, не имея прав управления, которые находились в состоянии алкогольного опьянения. </w:t>
      </w:r>
    </w:p>
    <w:p w14:paraId="2D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несовершеннолетними и родителями </w:t>
      </w:r>
      <w:r>
        <w:rPr>
          <w:rFonts w:ascii="Times New Roman" w:hAnsi="Times New Roman"/>
          <w:sz w:val="28"/>
        </w:rPr>
        <w:t>проводятся беседы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8"/>
          <w:highlight w:val="white"/>
        </w:rPr>
        <w:t xml:space="preserve"> «О недопущении оставления детей без присмотра в травмоопасных местах, предоставляющих угрозу жизни и здоровья детей», «О профилактике детского травматизма и несчастных случаев»</w:t>
      </w:r>
      <w:r>
        <w:rPr>
          <w:rFonts w:ascii="Times New Roman" w:hAnsi="Times New Roman"/>
          <w:sz w:val="28"/>
        </w:rPr>
        <w:t>.  Н</w:t>
      </w:r>
      <w:r>
        <w:rPr>
          <w:rFonts w:ascii="Times New Roman" w:hAnsi="Times New Roman"/>
          <w:sz w:val="28"/>
        </w:rPr>
        <w:t>а постоянной основе проводится комплекс мероприятий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включающий в себя раздачу листовок с наглядной агитацией по соблюдению правил дорожного движения.</w:t>
      </w:r>
    </w:p>
    <w:p w14:paraId="2E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Несовершеннолетние приняли</w:t>
      </w:r>
      <w:r>
        <w:rPr>
          <w:rFonts w:ascii="Times New Roman" w:hAnsi="Times New Roman"/>
          <w:b w:val="0"/>
          <w:i w:val="0"/>
          <w:caps w:val="0"/>
          <w:color w:val="1A1A1A"/>
          <w:spacing w:val="0"/>
          <w:sz w:val="28"/>
          <w:highlight w:val="white"/>
        </w:rPr>
        <w:t xml:space="preserve">  участие в профилактических акциях: «Осенним дорогам – безопасное движение» -1812 человек (АПГ-1614). «Зимним дорогам – безопасное движение»  - 3124 обучающихся (АПГ-1994),  в акции «Безопасность детей на дороге»-  2142(АПГ-1987),  В олимпиаде «Безопасные дороги» на платформе Учи.ру в октябре 2024 года приняли участие    5481 человек (в 2023 году- 4112).</w:t>
      </w:r>
    </w:p>
    <w:p w14:paraId="2F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2024</w:t>
      </w:r>
      <w:r>
        <w:rPr>
          <w:rFonts w:ascii="Times New Roman" w:hAnsi="Times New Roman"/>
          <w:sz w:val="28"/>
        </w:rPr>
        <w:t xml:space="preserve"> году погибших несовершеннолетних в ДТП нет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Произошло 6</w:t>
      </w:r>
      <w:r>
        <w:rPr>
          <w:rFonts w:ascii="Times New Roman" w:hAnsi="Times New Roman"/>
          <w:sz w:val="28"/>
        </w:rPr>
        <w:t xml:space="preserve"> ДТП с участием несовершеннолетних (за 2023</w:t>
      </w:r>
      <w:r>
        <w:rPr>
          <w:rFonts w:ascii="Times New Roman" w:hAnsi="Times New Roman"/>
          <w:sz w:val="28"/>
        </w:rPr>
        <w:t xml:space="preserve"> год – 6</w:t>
      </w:r>
      <w:r>
        <w:rPr>
          <w:rFonts w:ascii="Times New Roman" w:hAnsi="Times New Roman"/>
          <w:sz w:val="28"/>
        </w:rPr>
        <w:t xml:space="preserve">). Одной из причин является желание родителей угодить </w:t>
      </w:r>
      <w:r>
        <w:rPr>
          <w:rFonts w:ascii="Times New Roman" w:hAnsi="Times New Roman"/>
          <w:sz w:val="28"/>
        </w:rPr>
        <w:t>детям</w:t>
      </w:r>
      <w:r>
        <w:rPr>
          <w:rFonts w:ascii="Times New Roman" w:hAnsi="Times New Roman"/>
          <w:sz w:val="28"/>
        </w:rPr>
        <w:t xml:space="preserve"> и они им покупают скутер, мотоцикл, даже машину.</w:t>
      </w:r>
    </w:p>
    <w:p w14:paraId="30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Комиссией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ведётся мониторинг жизнеустройства и занятости несовершеннолетних, </w:t>
      </w:r>
      <w:r>
        <w:rPr>
          <w:rFonts w:ascii="Times New Roman" w:hAnsi="Times New Roman"/>
          <w:sz w:val="28"/>
        </w:rPr>
        <w:t xml:space="preserve">в том числе </w:t>
      </w:r>
      <w:r>
        <w:rPr>
          <w:rFonts w:ascii="Times New Roman" w:hAnsi="Times New Roman"/>
          <w:sz w:val="28"/>
        </w:rPr>
        <w:t xml:space="preserve">освобожденных из учреждений уголовно-исполнительной системы, вернувшихся из </w:t>
      </w:r>
      <w:r>
        <w:rPr>
          <w:rFonts w:ascii="Times New Roman" w:hAnsi="Times New Roman"/>
          <w:sz w:val="28"/>
        </w:rPr>
        <w:t>специального учебно-воспитательного учреждения закрытого типа</w:t>
      </w:r>
      <w:r>
        <w:rPr>
          <w:rFonts w:ascii="Times New Roman" w:hAnsi="Times New Roman"/>
          <w:sz w:val="28"/>
        </w:rPr>
        <w:t>, осужденных условно.</w:t>
      </w:r>
    </w:p>
    <w:p w14:paraId="31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состоянию на 01 </w:t>
      </w:r>
      <w:r>
        <w:rPr>
          <w:rFonts w:ascii="Times New Roman" w:hAnsi="Times New Roman"/>
          <w:sz w:val="28"/>
        </w:rPr>
        <w:t xml:space="preserve">января </w:t>
      </w:r>
      <w:r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г</w:t>
      </w:r>
      <w:r>
        <w:rPr>
          <w:rFonts w:ascii="Times New Roman" w:hAnsi="Times New Roman"/>
          <w:sz w:val="28"/>
        </w:rPr>
        <w:t>ода</w:t>
      </w:r>
      <w:r>
        <w:rPr>
          <w:rFonts w:ascii="Times New Roman" w:hAnsi="Times New Roman"/>
          <w:sz w:val="28"/>
        </w:rPr>
        <w:t xml:space="preserve"> на учете в </w:t>
      </w:r>
      <w:r>
        <w:rPr>
          <w:rFonts w:ascii="Times New Roman" w:hAnsi="Times New Roman"/>
          <w:sz w:val="28"/>
        </w:rPr>
        <w:t>уголовно исполнительной инспекции (УИИ)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состоит 1</w:t>
      </w:r>
      <w:r>
        <w:rPr>
          <w:rFonts w:ascii="Times New Roman" w:hAnsi="Times New Roman"/>
          <w:sz w:val="28"/>
        </w:rPr>
        <w:t xml:space="preserve"> несовершеннолетний</w:t>
      </w:r>
      <w:r>
        <w:rPr>
          <w:rFonts w:ascii="Times New Roman" w:hAnsi="Times New Roman"/>
          <w:sz w:val="28"/>
        </w:rPr>
        <w:t xml:space="preserve"> осужденный</w:t>
      </w:r>
      <w:r>
        <w:rPr>
          <w:rFonts w:ascii="Times New Roman" w:hAnsi="Times New Roman"/>
          <w:sz w:val="28"/>
        </w:rPr>
        <w:t xml:space="preserve"> условно.</w:t>
      </w:r>
      <w:r>
        <w:rPr>
          <w:rFonts w:ascii="Times New Roman" w:hAnsi="Times New Roman"/>
          <w:sz w:val="28"/>
        </w:rPr>
        <w:t xml:space="preserve"> За аналогичный период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года на учете в УИИ состояло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несовершеннолетних.</w:t>
      </w:r>
    </w:p>
    <w:p w14:paraId="32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Ведётся большая работа по половой неприкосновенности. Во всех образовательных учреждениях района, по поручению комиссии, проводятся беседы с несовершеннолетними и их родителями по половой неприкосновенности. Но, к сожалению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количество беременных несовер</w:t>
      </w:r>
      <w:r>
        <w:rPr>
          <w:rFonts w:ascii="Times New Roman" w:hAnsi="Times New Roman"/>
          <w:sz w:val="28"/>
        </w:rPr>
        <w:t>ш</w:t>
      </w:r>
      <w:r>
        <w:rPr>
          <w:rFonts w:ascii="Times New Roman" w:hAnsi="Times New Roman"/>
          <w:sz w:val="28"/>
        </w:rPr>
        <w:t xml:space="preserve">еннолетних </w:t>
      </w:r>
      <w:r>
        <w:rPr>
          <w:rFonts w:ascii="Times New Roman" w:hAnsi="Times New Roman"/>
          <w:sz w:val="28"/>
        </w:rPr>
        <w:t xml:space="preserve">не уменьшается. </w:t>
      </w:r>
      <w:r>
        <w:rPr>
          <w:rFonts w:ascii="Times New Roman" w:hAnsi="Times New Roman"/>
          <w:sz w:val="28"/>
        </w:rPr>
        <w:t>В 2024</w:t>
      </w:r>
      <w:r>
        <w:rPr>
          <w:rFonts w:ascii="Times New Roman" w:hAnsi="Times New Roman"/>
          <w:sz w:val="28"/>
        </w:rPr>
        <w:t xml:space="preserve"> году 10</w:t>
      </w:r>
      <w:r>
        <w:rPr>
          <w:rFonts w:ascii="Times New Roman" w:hAnsi="Times New Roman"/>
          <w:sz w:val="28"/>
        </w:rPr>
        <w:t>, в 2023 году 8.</w:t>
      </w:r>
      <w:r>
        <w:rPr>
          <w:rFonts w:ascii="Times New Roman" w:hAnsi="Times New Roman"/>
          <w:sz w:val="28"/>
        </w:rPr>
        <w:t xml:space="preserve"> Работа в данном направлении будет продолжена.</w:t>
      </w:r>
    </w:p>
    <w:p w14:paraId="33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Временно трудоустроено</w:t>
      </w:r>
      <w:r>
        <w:rPr>
          <w:rFonts w:ascii="Times New Roman" w:hAnsi="Times New Roman"/>
          <w:sz w:val="28"/>
        </w:rPr>
        <w:t xml:space="preserve"> в 2024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372 </w:t>
      </w:r>
      <w:r>
        <w:rPr>
          <w:rFonts w:ascii="Times New Roman" w:hAnsi="Times New Roman"/>
          <w:sz w:val="28"/>
        </w:rPr>
        <w:t>несовершеннолетних</w:t>
      </w:r>
      <w:r>
        <w:rPr>
          <w:rFonts w:ascii="Times New Roman" w:hAnsi="Times New Roman"/>
          <w:sz w:val="28"/>
        </w:rPr>
        <w:t xml:space="preserve"> (в 2023</w:t>
      </w:r>
      <w:r>
        <w:rPr>
          <w:rFonts w:ascii="Times New Roman" w:hAnsi="Times New Roman"/>
          <w:sz w:val="28"/>
        </w:rPr>
        <w:t xml:space="preserve"> году – тоже 393</w:t>
      </w:r>
      <w:r>
        <w:rPr>
          <w:rFonts w:ascii="Times New Roman" w:hAnsi="Times New Roman"/>
          <w:sz w:val="28"/>
        </w:rPr>
        <w:t>).</w:t>
      </w:r>
      <w:r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>з них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трудной  жизненной ситуации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112</w:t>
      </w:r>
      <w:r>
        <w:rPr>
          <w:rFonts w:ascii="Times New Roman" w:hAnsi="Times New Roman"/>
          <w:sz w:val="28"/>
        </w:rPr>
        <w:t xml:space="preserve"> подростка: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состоящие на учете КДН и ОВД –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чел.,  на </w:t>
      </w:r>
      <w:r>
        <w:rPr>
          <w:rFonts w:ascii="Times New Roman" w:hAnsi="Times New Roman"/>
          <w:sz w:val="28"/>
        </w:rPr>
        <w:t>внутришкольном</w:t>
      </w:r>
      <w:r>
        <w:rPr>
          <w:rFonts w:ascii="Times New Roman" w:hAnsi="Times New Roman"/>
          <w:sz w:val="28"/>
        </w:rPr>
        <w:t xml:space="preserve"> учете –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z w:val="28"/>
        </w:rPr>
        <w:t xml:space="preserve"> чел.</w:t>
      </w:r>
      <w:r>
        <w:rPr>
          <w:rFonts w:ascii="Times New Roman" w:hAnsi="Times New Roman"/>
          <w:sz w:val="28"/>
        </w:rPr>
        <w:t xml:space="preserve">, малообеспеченные семьи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чел., многодетные семьи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14</w:t>
      </w:r>
      <w:r>
        <w:rPr>
          <w:rFonts w:ascii="Times New Roman" w:hAnsi="Times New Roman"/>
          <w:sz w:val="28"/>
        </w:rPr>
        <w:t xml:space="preserve"> чел, неполная семья 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чел., под опекой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чел. </w:t>
      </w:r>
      <w:r>
        <w:rPr>
          <w:rFonts w:ascii="Times New Roman" w:hAnsi="Times New Roman"/>
          <w:sz w:val="28"/>
        </w:rPr>
        <w:t>Выплачено из средств областного бюджета</w:t>
      </w:r>
      <w:r>
        <w:rPr>
          <w:rFonts w:ascii="Times New Roman" w:hAnsi="Times New Roman"/>
          <w:sz w:val="28"/>
        </w:rPr>
        <w:t xml:space="preserve"> материальной поддержки </w:t>
      </w:r>
      <w:r>
        <w:rPr>
          <w:rFonts w:ascii="Times New Roman" w:hAnsi="Times New Roman"/>
          <w:sz w:val="28"/>
        </w:rPr>
        <w:t>234,32</w:t>
      </w:r>
      <w:r>
        <w:rPr>
          <w:rFonts w:ascii="Times New Roman" w:hAnsi="Times New Roman"/>
          <w:sz w:val="28"/>
        </w:rPr>
        <w:t xml:space="preserve"> тыс. руб., средства местного бюджета на выплату заработной платы </w:t>
      </w:r>
      <w:r>
        <w:rPr>
          <w:rFonts w:ascii="Times New Roman" w:hAnsi="Times New Roman"/>
          <w:sz w:val="28"/>
        </w:rPr>
        <w:t>составляют 5</w:t>
      </w:r>
      <w:r>
        <w:rPr>
          <w:rFonts w:ascii="Times New Roman" w:hAnsi="Times New Roman"/>
          <w:sz w:val="28"/>
        </w:rPr>
        <w:t>99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>28</w:t>
      </w:r>
      <w:r>
        <w:rPr>
          <w:rFonts w:ascii="Times New Roman" w:hAnsi="Times New Roman"/>
          <w:sz w:val="28"/>
        </w:rPr>
        <w:t xml:space="preserve"> тыс. руб.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средства работодателей на выплату заработной платы составили 59,66 тыс. руб.</w:t>
      </w:r>
      <w:r>
        <w:rPr>
          <w:rFonts w:ascii="Times New Roman" w:hAnsi="Times New Roman"/>
          <w:sz w:val="28"/>
        </w:rPr>
        <w:t xml:space="preserve"> </w:t>
      </w:r>
    </w:p>
    <w:p w14:paraId="34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летний каникулярный период 2024 года временно </w:t>
      </w:r>
      <w:r>
        <w:rPr>
          <w:rFonts w:ascii="Times New Roman" w:hAnsi="Times New Roman"/>
          <w:sz w:val="28"/>
        </w:rPr>
        <w:t>трудоустроено 162 несовершеннолетних гражданина выплачено</w:t>
      </w:r>
      <w:r>
        <w:rPr>
          <w:rFonts w:ascii="Times New Roman" w:hAnsi="Times New Roman"/>
          <w:sz w:val="28"/>
        </w:rPr>
        <w:t xml:space="preserve"> средств из областного бюджета 149,71 тыс. руб., средства местного бюджета составили 393,33 тыс. руб.,  и средства работодателей на выплату заработной платы составили 59,66 тыс. руб.</w:t>
      </w:r>
    </w:p>
    <w:p w14:paraId="35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Также </w:t>
      </w:r>
      <w:r>
        <w:rPr>
          <w:rFonts w:ascii="Times New Roman" w:hAnsi="Times New Roman"/>
          <w:sz w:val="28"/>
        </w:rPr>
        <w:t>372</w:t>
      </w:r>
      <w:r>
        <w:rPr>
          <w:rFonts w:ascii="Times New Roman" w:hAnsi="Times New Roman"/>
          <w:sz w:val="28"/>
        </w:rPr>
        <w:t xml:space="preserve"> подростков </w:t>
      </w:r>
      <w:r>
        <w:rPr>
          <w:rFonts w:ascii="Times New Roman" w:hAnsi="Times New Roman"/>
          <w:sz w:val="28"/>
        </w:rPr>
        <w:t>получили государственную услугу по профессиональной ориентации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 несовершеннолетним гражданам в возрасте от 14 до 18 лет.</w:t>
      </w:r>
    </w:p>
    <w:p w14:paraId="36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Одной из действующих мер профилактики подростковой преступности является активное вовлечение детей и молодежи в досуговую деятельность. 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964</w:t>
      </w:r>
      <w:r>
        <w:rPr>
          <w:rFonts w:ascii="Times New Roman" w:hAnsi="Times New Roman"/>
          <w:sz w:val="28"/>
        </w:rPr>
        <w:t xml:space="preserve"> обучающихся общеобразовательных организаций заняты в системе дополнительного образования.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Несовершеннолетние</w:t>
      </w:r>
      <w:r>
        <w:rPr>
          <w:rFonts w:ascii="Times New Roman" w:hAnsi="Times New Roman"/>
          <w:sz w:val="28"/>
        </w:rPr>
        <w:t>, состоящие на различных видах профилактическог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учета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вовлекаются в мероприятия спортивно-оздоровительной, социально-полезной, патриотической направленности. </w:t>
      </w:r>
    </w:p>
    <w:p w14:paraId="37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детей из малоимущих</w:t>
      </w:r>
      <w:r>
        <w:rPr>
          <w:rFonts w:ascii="Times New Roman" w:hAnsi="Times New Roman"/>
          <w:sz w:val="28"/>
        </w:rPr>
        <w:t xml:space="preserve"> семей,</w:t>
      </w:r>
      <w:r>
        <w:rPr>
          <w:rFonts w:ascii="Times New Roman" w:hAnsi="Times New Roman"/>
          <w:sz w:val="28"/>
        </w:rPr>
        <w:t xml:space="preserve"> состоящих на профилактических учётах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был организован отдых и оздоровление на территории Ростовской области, в загородном лагере ООО «Орленок», расположенн</w:t>
      </w:r>
      <w:r>
        <w:rPr>
          <w:rFonts w:ascii="Times New Roman" w:hAnsi="Times New Roman"/>
          <w:sz w:val="28"/>
        </w:rPr>
        <w:t xml:space="preserve">ом в </w:t>
      </w:r>
      <w:r>
        <w:rPr>
          <w:rFonts w:ascii="Times New Roman" w:hAnsi="Times New Roman"/>
          <w:sz w:val="28"/>
        </w:rPr>
        <w:t>Белокалитвинском</w:t>
      </w:r>
      <w:r>
        <w:rPr>
          <w:rFonts w:ascii="Times New Roman" w:hAnsi="Times New Roman"/>
          <w:sz w:val="28"/>
        </w:rPr>
        <w:t xml:space="preserve"> районе и </w:t>
      </w:r>
      <w:r>
        <w:rPr>
          <w:rFonts w:ascii="Times New Roman" w:hAnsi="Times New Roman"/>
          <w:sz w:val="28"/>
        </w:rPr>
        <w:t xml:space="preserve">санаторном оздоровительном лагере ООО «Красный Десант», расположенном на побережье Азовского моря. </w:t>
      </w:r>
    </w:p>
    <w:p w14:paraId="38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b w:val="1"/>
          <w:sz w:val="28"/>
        </w:rPr>
        <w:t>01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>10</w:t>
      </w:r>
      <w:r>
        <w:rPr>
          <w:rFonts w:ascii="Times New Roman" w:hAnsi="Times New Roman"/>
          <w:b w:val="1"/>
          <w:sz w:val="28"/>
        </w:rPr>
        <w:t>.2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b w:val="1"/>
          <w:sz w:val="28"/>
        </w:rPr>
        <w:t>24</w:t>
      </w:r>
      <w:r>
        <w:rPr>
          <w:rFonts w:ascii="Times New Roman" w:hAnsi="Times New Roman"/>
          <w:sz w:val="28"/>
        </w:rPr>
        <w:t xml:space="preserve"> оздоровлено </w:t>
      </w:r>
      <w:r>
        <w:rPr>
          <w:rFonts w:ascii="Times New Roman" w:hAnsi="Times New Roman"/>
          <w:b w:val="1"/>
          <w:color w:val="000000"/>
          <w:sz w:val="28"/>
        </w:rPr>
        <w:t>804</w:t>
      </w:r>
      <w:r>
        <w:rPr>
          <w:rFonts w:ascii="Times New Roman" w:hAnsi="Times New Roman"/>
          <w:sz w:val="28"/>
        </w:rPr>
        <w:t xml:space="preserve"> ребенка,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 них:</w:t>
      </w:r>
    </w:p>
    <w:p w14:paraId="39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355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детей </w:t>
      </w:r>
      <w:r>
        <w:rPr>
          <w:rFonts w:ascii="Times New Roman" w:hAnsi="Times New Roman"/>
          <w:sz w:val="28"/>
        </w:rPr>
        <w:t xml:space="preserve">из малоимущих семей </w:t>
      </w:r>
      <w:r>
        <w:rPr>
          <w:rFonts w:ascii="Times New Roman" w:hAnsi="Times New Roman"/>
          <w:sz w:val="28"/>
        </w:rPr>
        <w:t xml:space="preserve">оздоровлены в оздоровительном лагере ООО «Орленок» по путевкам, приобретенным УСЗН Белокалитвинского района, на общую сумму </w:t>
      </w:r>
      <w:r>
        <w:rPr>
          <w:rFonts w:ascii="Times New Roman" w:hAnsi="Times New Roman"/>
          <w:b w:val="1"/>
          <w:sz w:val="28"/>
        </w:rPr>
        <w:t>13 130,52</w:t>
      </w:r>
      <w:r>
        <w:rPr>
          <w:rFonts w:ascii="Times New Roman" w:hAnsi="Times New Roman"/>
          <w:b w:val="1"/>
          <w:sz w:val="28"/>
        </w:rPr>
        <w:t xml:space="preserve">  тыс. руб.; </w:t>
      </w:r>
    </w:p>
    <w:p w14:paraId="3A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- 1</w:t>
      </w:r>
      <w:r>
        <w:rPr>
          <w:rFonts w:ascii="Times New Roman" w:hAnsi="Times New Roman"/>
          <w:b w:val="1"/>
          <w:sz w:val="28"/>
        </w:rPr>
        <w:t>00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детей </w:t>
      </w:r>
      <w:r>
        <w:rPr>
          <w:rFonts w:ascii="Times New Roman" w:hAnsi="Times New Roman"/>
          <w:sz w:val="28"/>
        </w:rPr>
        <w:t xml:space="preserve">из малоимущих семей </w:t>
      </w:r>
      <w:r>
        <w:rPr>
          <w:rFonts w:ascii="Times New Roman" w:hAnsi="Times New Roman"/>
          <w:sz w:val="28"/>
        </w:rPr>
        <w:t>оздоровлены в санаторно-оздоровительном лагере ООО «Красный Десант», расположенном на побережье Азовского моря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по путевкам, приобретенным УСЗН Белокалитвинского района, </w:t>
      </w:r>
      <w:r>
        <w:rPr>
          <w:rFonts w:ascii="Times New Roman" w:hAnsi="Times New Roman"/>
          <w:sz w:val="28"/>
        </w:rPr>
        <w:t xml:space="preserve">на общую сумму </w:t>
      </w:r>
      <w:r>
        <w:rPr>
          <w:rFonts w:ascii="Times New Roman" w:hAnsi="Times New Roman"/>
          <w:b w:val="1"/>
          <w:sz w:val="28"/>
        </w:rPr>
        <w:t>5 050,89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тыс. руб</w:t>
      </w:r>
      <w:r>
        <w:rPr>
          <w:rFonts w:ascii="Times New Roman" w:hAnsi="Times New Roman"/>
          <w:b w:val="1"/>
          <w:sz w:val="28"/>
        </w:rPr>
        <w:t xml:space="preserve">.; 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>00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детей </w:t>
      </w:r>
      <w:r>
        <w:rPr>
          <w:rFonts w:ascii="Times New Roman" w:hAnsi="Times New Roman"/>
          <w:sz w:val="28"/>
        </w:rPr>
        <w:t xml:space="preserve">из малоимущих семей </w:t>
      </w:r>
      <w:r>
        <w:rPr>
          <w:rFonts w:ascii="Times New Roman" w:hAnsi="Times New Roman"/>
          <w:sz w:val="28"/>
        </w:rPr>
        <w:t>оздоровлены в санаторно-оздоровительном лагере ООО «</w:t>
      </w:r>
      <w:r>
        <w:rPr>
          <w:rFonts w:ascii="Times New Roman" w:hAnsi="Times New Roman"/>
          <w:sz w:val="28"/>
        </w:rPr>
        <w:t>Центр Мир</w:t>
      </w:r>
      <w:r>
        <w:rPr>
          <w:rFonts w:ascii="Times New Roman" w:hAnsi="Times New Roman"/>
          <w:sz w:val="28"/>
        </w:rPr>
        <w:t>», расположенном на побережье Азовского моря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по путевкам, приобретенным УСЗН Белокалитвинского района, </w:t>
      </w:r>
      <w:r>
        <w:rPr>
          <w:rFonts w:ascii="Times New Roman" w:hAnsi="Times New Roman"/>
          <w:sz w:val="28"/>
        </w:rPr>
        <w:t xml:space="preserve">на общую сумму </w:t>
      </w:r>
      <w:r>
        <w:rPr>
          <w:rFonts w:ascii="Times New Roman" w:hAnsi="Times New Roman"/>
          <w:b w:val="1"/>
          <w:sz w:val="28"/>
        </w:rPr>
        <w:t>5 093,37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тыс. руб</w:t>
      </w:r>
      <w:r>
        <w:rPr>
          <w:rFonts w:ascii="Times New Roman" w:hAnsi="Times New Roman"/>
          <w:b w:val="1"/>
          <w:sz w:val="28"/>
        </w:rPr>
        <w:t>.;</w:t>
      </w:r>
    </w:p>
    <w:p w14:paraId="3B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- 120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детей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оздоровлен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по путевкам, приобретенным </w:t>
      </w:r>
      <w:r>
        <w:rPr>
          <w:rFonts w:ascii="Times New Roman" w:hAnsi="Times New Roman"/>
          <w:sz w:val="28"/>
        </w:rPr>
        <w:t xml:space="preserve">самостоятельно </w:t>
      </w:r>
      <w:r>
        <w:rPr>
          <w:rFonts w:ascii="Times New Roman" w:hAnsi="Times New Roman"/>
          <w:sz w:val="28"/>
        </w:rPr>
        <w:t>родителями</w:t>
      </w:r>
      <w:r>
        <w:rPr>
          <w:rFonts w:ascii="Times New Roman" w:hAnsi="Times New Roman"/>
          <w:sz w:val="28"/>
        </w:rPr>
        <w:t xml:space="preserve">. Данным семьям выплачена </w:t>
      </w:r>
      <w:r>
        <w:rPr>
          <w:rFonts w:ascii="Times New Roman" w:hAnsi="Times New Roman"/>
          <w:sz w:val="28"/>
        </w:rPr>
        <w:t xml:space="preserve">компенсация на общую сумму  </w:t>
      </w:r>
      <w:r>
        <w:rPr>
          <w:rFonts w:ascii="Times New Roman" w:hAnsi="Times New Roman"/>
          <w:b w:val="1"/>
          <w:sz w:val="28"/>
        </w:rPr>
        <w:t>2 793,95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тыс</w:t>
      </w:r>
      <w:r>
        <w:rPr>
          <w:rFonts w:ascii="Times New Roman" w:hAnsi="Times New Roman"/>
          <w:b w:val="1"/>
          <w:sz w:val="28"/>
        </w:rPr>
        <w:t>. руб</w:t>
      </w:r>
      <w:r>
        <w:rPr>
          <w:rFonts w:ascii="Times New Roman" w:hAnsi="Times New Roman"/>
          <w:sz w:val="28"/>
        </w:rPr>
        <w:t>.;</w:t>
      </w:r>
    </w:p>
    <w:p w14:paraId="3C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84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ребенка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оздоровлено по путевкам, приобретенным организацией АО «Алюминий Металлург Рус»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для детей своих сотрудников, предприятию предоставлена компенсация в размере 50% стоимости фактически приобретенных путевок на общую сумму </w:t>
      </w:r>
      <w:r>
        <w:rPr>
          <w:rFonts w:ascii="Times New Roman" w:hAnsi="Times New Roman"/>
          <w:b w:val="1"/>
          <w:sz w:val="28"/>
        </w:rPr>
        <w:t>1 507,62</w:t>
      </w:r>
      <w:r>
        <w:rPr>
          <w:rFonts w:ascii="Times New Roman" w:hAnsi="Times New Roman"/>
          <w:b w:val="1"/>
          <w:sz w:val="28"/>
        </w:rPr>
        <w:t xml:space="preserve"> тыс. руб</w:t>
      </w:r>
      <w:r>
        <w:rPr>
          <w:rFonts w:ascii="Times New Roman" w:hAnsi="Times New Roman"/>
          <w:sz w:val="28"/>
        </w:rPr>
        <w:t>.</w:t>
      </w:r>
    </w:p>
    <w:p w14:paraId="3D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Ежегодно УСЗН Белокалитвинского района направляет заявку в Министерство труда и социального развития Ростовской области на выделение путевок для детей, находящихся в СОП </w:t>
      </w:r>
      <w:r>
        <w:rPr>
          <w:rFonts w:ascii="Times New Roman" w:hAnsi="Times New Roman"/>
          <w:sz w:val="28"/>
        </w:rPr>
        <w:t>из малоимущих семей</w:t>
      </w:r>
      <w:r>
        <w:rPr>
          <w:rFonts w:ascii="Times New Roman" w:hAnsi="Times New Roman"/>
          <w:sz w:val="28"/>
        </w:rPr>
        <w:t>, а также детей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состоящих на различных</w:t>
      </w:r>
      <w:r>
        <w:rPr>
          <w:rFonts w:ascii="Times New Roman" w:hAnsi="Times New Roman"/>
          <w:sz w:val="28"/>
        </w:rPr>
        <w:t xml:space="preserve"> видах</w:t>
      </w:r>
      <w:r>
        <w:rPr>
          <w:rFonts w:ascii="Times New Roman" w:hAnsi="Times New Roman"/>
          <w:sz w:val="28"/>
        </w:rPr>
        <w:t xml:space="preserve"> учета.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b w:val="1"/>
          <w:sz w:val="28"/>
        </w:rPr>
        <w:t>2024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году МТиСР РО для данной категории детей выделено </w:t>
      </w:r>
      <w:r>
        <w:rPr>
          <w:rFonts w:ascii="Times New Roman" w:hAnsi="Times New Roman"/>
          <w:b w:val="1"/>
          <w:sz w:val="28"/>
        </w:rPr>
        <w:t>45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путевок</w:t>
      </w:r>
      <w:r>
        <w:rPr>
          <w:rFonts w:ascii="Times New Roman" w:hAnsi="Times New Roman"/>
          <w:sz w:val="28"/>
        </w:rPr>
        <w:t xml:space="preserve"> в оздоровительные организации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расположенные в Неклиновском районе (Азовское море)</w:t>
      </w:r>
      <w:r>
        <w:rPr>
          <w:rFonts w:ascii="Times New Roman" w:hAnsi="Times New Roman"/>
          <w:sz w:val="28"/>
        </w:rPr>
        <w:t>:</w:t>
      </w:r>
    </w:p>
    <w:p w14:paraId="3E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- санаторный лагерь ООО «Красный десант», </w:t>
      </w:r>
      <w:r>
        <w:rPr>
          <w:rStyle w:val="Style_1_ch"/>
          <w:rFonts w:ascii="Times New Roman" w:hAnsi="Times New Roman"/>
          <w:sz w:val="28"/>
        </w:rPr>
        <w:t>Неклиновский</w:t>
      </w:r>
      <w:r>
        <w:rPr>
          <w:rStyle w:val="Style_1_ch"/>
          <w:rFonts w:ascii="Times New Roman" w:hAnsi="Times New Roman"/>
          <w:sz w:val="28"/>
        </w:rPr>
        <w:t xml:space="preserve"> район с 01.06.2024 по 24.06.2024 – 15 путевок;</w:t>
      </w:r>
    </w:p>
    <w:p w14:paraId="3F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 xml:space="preserve">- загородный лагерь ООО </w:t>
      </w:r>
      <w:r>
        <w:rPr>
          <w:rStyle w:val="Style_1_ch"/>
          <w:rFonts w:ascii="Times New Roman" w:hAnsi="Times New Roman"/>
          <w:sz w:val="28"/>
        </w:rPr>
        <w:t>ДОЦ</w:t>
      </w:r>
      <w:r>
        <w:rPr>
          <w:rStyle w:val="Style_1_ch"/>
          <w:rFonts w:ascii="Times New Roman" w:hAnsi="Times New Roman"/>
          <w:sz w:val="28"/>
        </w:rPr>
        <w:t xml:space="preserve"> «Орленок», </w:t>
      </w:r>
      <w:r>
        <w:rPr>
          <w:rStyle w:val="Style_1_ch"/>
          <w:rFonts w:ascii="Times New Roman" w:hAnsi="Times New Roman"/>
          <w:sz w:val="28"/>
        </w:rPr>
        <w:t>Неклиновский</w:t>
      </w:r>
      <w:r>
        <w:rPr>
          <w:rStyle w:val="Style_1_ch"/>
          <w:rFonts w:ascii="Times New Roman" w:hAnsi="Times New Roman"/>
          <w:sz w:val="28"/>
        </w:rPr>
        <w:t xml:space="preserve"> район с 24.06.2024 по 14.07.2024 - 30 путевок.</w:t>
      </w:r>
    </w:p>
    <w:p w14:paraId="40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Комиссия </w:t>
      </w:r>
      <w:r>
        <w:rPr>
          <w:rFonts w:ascii="Times New Roman" w:hAnsi="Times New Roman"/>
          <w:sz w:val="28"/>
        </w:rPr>
        <w:t>уделяет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большое</w:t>
      </w:r>
      <w:r>
        <w:rPr>
          <w:rFonts w:ascii="Times New Roman" w:hAnsi="Times New Roman"/>
          <w:sz w:val="28"/>
        </w:rPr>
        <w:t xml:space="preserve"> внимани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мероприятиям по профилактике асоциального поведения, этнического и религиозно-политического экстремизма в молодежной среде, в том числе и в интернет-пространствах.</w:t>
      </w:r>
    </w:p>
    <w:p w14:paraId="41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Несовершеннолетние принимают участие в реализации молодежного волонтерского проекта «Жить здорово!» по закрашиванию надписей о продаже наркотиков. </w:t>
      </w:r>
      <w:r>
        <w:rPr>
          <w:rFonts w:ascii="Times New Roman" w:hAnsi="Times New Roman"/>
          <w:sz w:val="28"/>
        </w:rPr>
        <w:t xml:space="preserve">За 2024 год закрашено 276 надписей. </w:t>
      </w:r>
      <w:r>
        <w:rPr>
          <w:rFonts w:ascii="Times New Roman" w:hAnsi="Times New Roman"/>
          <w:sz w:val="28"/>
        </w:rPr>
        <w:t xml:space="preserve">Молодежь активно включилась в акцию «Сообщи, где торгуют смертью!». Много работ поступило на конкурс социальной рекламы «Спасем жизнь вместе», волонтеры с удовольствием участвуют в Спартакиаде Дона и молодежном проекте «Физкульт-привет!». </w:t>
      </w:r>
      <w:r>
        <w:rPr>
          <w:rFonts w:ascii="Times New Roman" w:hAnsi="Times New Roman"/>
          <w:sz w:val="28"/>
        </w:rPr>
        <w:t xml:space="preserve">В рамках месячника антинаркотической направленности и популяризации здорового образа жизни </w:t>
      </w:r>
      <w:r>
        <w:rPr>
          <w:rFonts w:ascii="Times New Roman" w:hAnsi="Times New Roman"/>
          <w:sz w:val="28"/>
        </w:rPr>
        <w:t xml:space="preserve">за </w:t>
      </w:r>
      <w:r>
        <w:rPr>
          <w:rFonts w:ascii="Times New Roman" w:hAnsi="Times New Roman"/>
          <w:sz w:val="28"/>
        </w:rPr>
        <w:t>период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проведены 2</w:t>
      </w:r>
      <w:r>
        <w:rPr>
          <w:rFonts w:ascii="Times New Roman" w:hAnsi="Times New Roman"/>
          <w:sz w:val="28"/>
        </w:rPr>
        <w:t>08</w:t>
      </w:r>
      <w:r>
        <w:rPr>
          <w:rFonts w:ascii="Times New Roman" w:hAnsi="Times New Roman"/>
          <w:sz w:val="28"/>
        </w:rPr>
        <w:t xml:space="preserve"> мероприя</w:t>
      </w:r>
      <w:r>
        <w:rPr>
          <w:rFonts w:ascii="Times New Roman" w:hAnsi="Times New Roman"/>
          <w:sz w:val="28"/>
        </w:rPr>
        <w:t>тий, с охватом 3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91 участник.</w:t>
      </w:r>
    </w:p>
    <w:p w14:paraId="42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08</w:t>
      </w:r>
      <w:r>
        <w:rPr>
          <w:rFonts w:ascii="Times New Roman" w:hAnsi="Times New Roman"/>
          <w:color w:val="000000"/>
          <w:sz w:val="28"/>
        </w:rPr>
        <w:t xml:space="preserve"> ию</w:t>
      </w:r>
      <w:r>
        <w:rPr>
          <w:rFonts w:ascii="Times New Roman" w:hAnsi="Times New Roman"/>
          <w:color w:val="000000"/>
          <w:sz w:val="28"/>
        </w:rPr>
        <w:t>л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проведен </w:t>
      </w:r>
      <w:r>
        <w:rPr>
          <w:rFonts w:ascii="Times New Roman" w:hAnsi="Times New Roman"/>
          <w:color w:val="000000"/>
          <w:sz w:val="28"/>
        </w:rPr>
        <w:t>СапФест</w:t>
      </w:r>
      <w:r>
        <w:rPr>
          <w:rFonts w:ascii="Times New Roman" w:hAnsi="Times New Roman"/>
          <w:color w:val="000000"/>
          <w:sz w:val="28"/>
        </w:rPr>
        <w:t xml:space="preserve"> в рамках Дня Молодежи</w:t>
      </w:r>
      <w:r>
        <w:rPr>
          <w:rFonts w:ascii="Times New Roman" w:hAnsi="Times New Roman"/>
          <w:color w:val="000000"/>
          <w:sz w:val="28"/>
        </w:rPr>
        <w:t xml:space="preserve">, посвященный Дню молодежи и Дню борьбы с наркотиками. </w:t>
      </w: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 xml:space="preserve">частие в мероприятии </w:t>
      </w:r>
      <w:r>
        <w:rPr>
          <w:rFonts w:ascii="Times New Roman" w:hAnsi="Times New Roman"/>
          <w:color w:val="000000"/>
          <w:sz w:val="28"/>
        </w:rPr>
        <w:t xml:space="preserve">приняли </w:t>
      </w:r>
      <w:r>
        <w:rPr>
          <w:rFonts w:ascii="Times New Roman" w:hAnsi="Times New Roman"/>
          <w:color w:val="000000"/>
          <w:sz w:val="28"/>
        </w:rPr>
        <w:t xml:space="preserve">около </w:t>
      </w:r>
      <w:r>
        <w:rPr>
          <w:rFonts w:ascii="Times New Roman" w:hAnsi="Times New Roman"/>
          <w:color w:val="000000"/>
          <w:sz w:val="28"/>
        </w:rPr>
        <w:t>27</w:t>
      </w:r>
      <w:r>
        <w:rPr>
          <w:rFonts w:ascii="Times New Roman" w:hAnsi="Times New Roman"/>
          <w:color w:val="000000"/>
          <w:sz w:val="28"/>
        </w:rPr>
        <w:t xml:space="preserve"> подростков, оказавшихся в сложной жизненной ситуации.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43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E2E2E"/>
          <w:sz w:val="28"/>
          <w:highlight w:val="white"/>
        </w:rPr>
        <w:t>В июле состоял</w:t>
      </w:r>
      <w:r>
        <w:rPr>
          <w:rFonts w:ascii="Times New Roman" w:hAnsi="Times New Roman"/>
          <w:color w:val="2E2E2E"/>
          <w:sz w:val="28"/>
          <w:highlight w:val="white"/>
        </w:rPr>
        <w:t>ся зональный этап Спар</w:t>
      </w:r>
      <w:r>
        <w:rPr>
          <w:rFonts w:ascii="Times New Roman" w:hAnsi="Times New Roman"/>
          <w:color w:val="2E2E2E"/>
          <w:sz w:val="28"/>
          <w:highlight w:val="white"/>
        </w:rPr>
        <w:t>такиады, в рамках которого было</w:t>
      </w:r>
      <w:r>
        <w:rPr>
          <w:rFonts w:ascii="Times New Roman" w:hAnsi="Times New Roman"/>
          <w:color w:val="2E2E2E"/>
          <w:sz w:val="28"/>
          <w:highlight w:val="white"/>
        </w:rPr>
        <w:t xml:space="preserve"> привлечено к спортивному волонтёрству более </w:t>
      </w:r>
      <w:r>
        <w:rPr>
          <w:rFonts w:ascii="Times New Roman" w:hAnsi="Times New Roman"/>
          <w:color w:val="2E2E2E"/>
          <w:sz w:val="28"/>
          <w:highlight w:val="white"/>
        </w:rPr>
        <w:t>5</w:t>
      </w:r>
      <w:r>
        <w:rPr>
          <w:rFonts w:ascii="Times New Roman" w:hAnsi="Times New Roman"/>
          <w:color w:val="2E2E2E"/>
          <w:sz w:val="28"/>
          <w:highlight w:val="white"/>
        </w:rPr>
        <w:t>0 подростков, в том числе «группы риска»</w:t>
      </w:r>
      <w:r>
        <w:rPr>
          <w:rFonts w:ascii="Times New Roman" w:hAnsi="Times New Roman"/>
          <w:color w:val="2E2E2E"/>
          <w:sz w:val="28"/>
          <w:highlight w:val="white"/>
        </w:rPr>
        <w:t xml:space="preserve"> </w:t>
      </w:r>
      <w:r>
        <w:rPr>
          <w:rFonts w:ascii="Times New Roman" w:hAnsi="Times New Roman"/>
          <w:color w:val="2E2E2E"/>
          <w:sz w:val="28"/>
          <w:highlight w:val="white"/>
        </w:rPr>
        <w:t>1</w:t>
      </w:r>
      <w:r>
        <w:rPr>
          <w:rFonts w:ascii="Times New Roman" w:hAnsi="Times New Roman"/>
          <w:color w:val="2E2E2E"/>
          <w:sz w:val="28"/>
          <w:highlight w:val="white"/>
        </w:rPr>
        <w:t>0 человек</w:t>
      </w:r>
      <w:r>
        <w:rPr>
          <w:rFonts w:ascii="Times New Roman" w:hAnsi="Times New Roman"/>
          <w:color w:val="2E2E2E"/>
          <w:sz w:val="28"/>
          <w:highlight w:val="white"/>
        </w:rPr>
        <w:t>.</w:t>
      </w:r>
    </w:p>
    <w:p w14:paraId="44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Сотрудники клубных учреждений ведут работу по профилактике алкоголизма и наркомании среди подростков и молодежи, а также всего населения района на постоянной основе. В этом направлении проводятся мероприятия различных форм. Также в КДУ района постоянно действуют кружки, клубы по интересам, любительские объединения, коллективы народного творчества и др. для занятости досуга детей и подростков, отвлечения от вредных привычек и пустого времяпровождения. Мероприятий, различной тематики, проведенных для детей, подростков и молодежи 2100. В преддверии Международного дня борьбы со злоупотреблением наркотическими средствами и их незаконным оборотом (26 июня) в КДУ Белокалитвинского района проведены тематические мероприятия различных форм, которые охватили более 6.5 тыс. человек, в том числе от 10 до 25 лет около 4 тыс. человек.</w:t>
      </w:r>
    </w:p>
    <w:p w14:paraId="45000000">
      <w:pPr>
        <w:spacing w:after="283" w:line="276" w:lineRule="auto"/>
        <w:ind w:firstLine="567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2024</w:t>
      </w:r>
      <w:r>
        <w:rPr>
          <w:rFonts w:ascii="Times New Roman" w:hAnsi="Times New Roman"/>
          <w:sz w:val="28"/>
        </w:rPr>
        <w:t xml:space="preserve"> год в социальных сетях размещено более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0 роликов и памяток в области противодействия экстремизму. Дети осведомлены о проблемах безопасности при использовании сети Интернет, потенциальных рисках, путях защиты от сетевых угроз.</w:t>
      </w:r>
      <w:r>
        <w:rPr>
          <w:rFonts w:ascii="Times New Roman" w:hAnsi="Times New Roman"/>
          <w:b w:val="0"/>
          <w:sz w:val="28"/>
        </w:rPr>
        <w:t xml:space="preserve"> На сайтах, на официальных страницах Администрации </w:t>
      </w:r>
      <w:r>
        <w:rPr>
          <w:rFonts w:ascii="Times New Roman" w:hAnsi="Times New Roman"/>
          <w:b w:val="0"/>
          <w:sz w:val="28"/>
        </w:rPr>
        <w:t>Белокалитвинского</w:t>
      </w:r>
      <w:r>
        <w:rPr>
          <w:rFonts w:ascii="Times New Roman" w:hAnsi="Times New Roman"/>
          <w:b w:val="0"/>
          <w:sz w:val="28"/>
        </w:rPr>
        <w:t xml:space="preserve"> района, УСЗН, ЦЗН, отдела образования, СФКС и ДМ, отдела культуры, информационных стендах образовательных организаций размещены памятки «О правилах безопасности на водных объектах», «Безопасные летние каникулы», «Пожарная безопасность в повседневной жизни», «Подросток за рулем», «Каждый должен знать эти правила на пять!», «Слова тоже ранят», о необходимости  соблюдения норм областного закона от 16.12.2009 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развитию», в том числе в части недопущения нахождения детей в ночное время без сопровождения </w:t>
      </w:r>
      <w:r>
        <w:rPr>
          <w:rFonts w:ascii="Times New Roman" w:hAnsi="Times New Roman"/>
          <w:b w:val="0"/>
          <w:sz w:val="28"/>
        </w:rPr>
        <w:t>родителей (лиц, их заменяющих). Также памятки распространены среди детей и родителей. Размещено 21 публикация в СМИ, 32 оповещений на радио по профилактике гибели и травмирования несовершеннолетних от внешних причин, соблюдению правил дорожного движения, соблюдению областного закона от 16.12.2009 № 346-ЗС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</w:p>
    <w:sectPr>
      <w:pgSz w:h="16838" w:orient="portrait" w:w="11906"/>
      <w:pgMar w:bottom="568" w:footer="708" w:gutter="0" w:header="708" w:left="1418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List Paragraph"/>
    <w:basedOn w:val="Style_1"/>
    <w:link w:val="Style_18_ch"/>
    <w:pPr>
      <w:spacing w:after="0" w:line="240" w:lineRule="auto"/>
      <w:ind w:left="720"/>
      <w:contextualSpacing w:val="1"/>
    </w:pPr>
    <w:rPr>
      <w:rFonts w:ascii="Times New Roman" w:hAnsi="Times New Roman"/>
      <w:sz w:val="24"/>
    </w:rPr>
  </w:style>
  <w:style w:styleId="Style_18_ch" w:type="character">
    <w:name w:val="List Paragraph"/>
    <w:basedOn w:val="Style_1_ch"/>
    <w:link w:val="Style_18"/>
    <w:rPr>
      <w:rFonts w:ascii="Times New Roman" w:hAnsi="Times New Roman"/>
      <w:sz w:val="24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24" w:type="paragraph">
    <w:name w:val="Balloon Text"/>
    <w:basedOn w:val="Style_1"/>
    <w:link w:val="Style_24_ch"/>
    <w:pPr>
      <w:spacing w:after="0" w:line="240" w:lineRule="auto"/>
      <w:ind/>
    </w:pPr>
    <w:rPr>
      <w:rFonts w:ascii="Segoe UI" w:hAnsi="Segoe UI"/>
      <w:sz w:val="18"/>
    </w:rPr>
  </w:style>
  <w:style w:styleId="Style_24_ch" w:type="character">
    <w:name w:val="Balloon Text"/>
    <w:basedOn w:val="Style_1_ch"/>
    <w:link w:val="Style_24"/>
    <w:rPr>
      <w:rFonts w:ascii="Segoe UI" w:hAnsi="Segoe UI"/>
      <w:sz w:val="18"/>
    </w:rPr>
  </w:style>
  <w:style w:styleId="Style_25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2025-02-19T09:05:02Z</dcterms:modified>
</cp:coreProperties>
</file>