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rFonts w:ascii="Trebuchet MS" w:hAnsi="Trebuchet MS"/>
        </w:rPr>
      </w:pPr>
    </w:p>
    <w:p w14:paraId="0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 xml:space="preserve">едеральные льготники (инвалиды, дети-инвалиды, чернобыльцы, ветераны боевых действий и иные категории) </w:t>
      </w:r>
      <w:r>
        <w:rPr>
          <w:sz w:val="28"/>
        </w:rPr>
        <w:t xml:space="preserve"> зарегистрированные </w:t>
      </w:r>
      <w:r>
        <w:rPr>
          <w:sz w:val="28"/>
        </w:rPr>
        <w:t>в Ростовской области</w:t>
      </w:r>
      <w:r>
        <w:rPr>
          <w:sz w:val="28"/>
        </w:rPr>
        <w:t xml:space="preserve"> и </w:t>
      </w:r>
      <w:r>
        <w:rPr>
          <w:sz w:val="28"/>
        </w:rPr>
        <w:t xml:space="preserve"> включенные в Федеральный регистр лиц, имеющих право на получение государственной социальной помощи, независимо от размера ежемесячных денежных выплат, которые они получают, </w:t>
      </w:r>
      <w:r>
        <w:rPr>
          <w:sz w:val="28"/>
        </w:rPr>
        <w:t xml:space="preserve">могут реализовать своё право на </w:t>
      </w:r>
      <w:r>
        <w:rPr>
          <w:sz w:val="28"/>
        </w:rPr>
        <w:t>льготн</w:t>
      </w:r>
      <w:r>
        <w:rPr>
          <w:sz w:val="28"/>
        </w:rPr>
        <w:t>ый</w:t>
      </w:r>
      <w:r>
        <w:rPr>
          <w:sz w:val="28"/>
        </w:rPr>
        <w:t xml:space="preserve"> проезд на общественном транспорте по городским и внутрирайонным маршрутам на территории Ростовской области</w:t>
      </w:r>
      <w:r>
        <w:rPr>
          <w:sz w:val="28"/>
        </w:rPr>
        <w:t xml:space="preserve"> </w:t>
      </w:r>
      <w:r>
        <w:rPr>
          <w:sz w:val="28"/>
        </w:rPr>
        <w:t>по </w:t>
      </w:r>
      <w:r>
        <w:rPr>
          <w:sz w:val="28"/>
        </w:rPr>
        <w:t>электронному социальному проездному билету</w:t>
      </w:r>
      <w:r>
        <w:rPr>
          <w:sz w:val="28"/>
        </w:rPr>
        <w:t xml:space="preserve"> (далее – электронный билет).</w:t>
      </w:r>
    </w:p>
    <w:p w14:paraId="03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Для получения </w:t>
      </w:r>
      <w:r>
        <w:rPr>
          <w:sz w:val="28"/>
        </w:rPr>
        <w:t xml:space="preserve">электронного билета федеральные льготники предоставляют в Управление социальной защиты населения Администрации Белокалитвинского района </w:t>
      </w:r>
      <w:r>
        <w:rPr>
          <w:sz w:val="28"/>
        </w:rPr>
        <w:t xml:space="preserve"> или МФЦ по месту жительства</w:t>
      </w:r>
      <w:r>
        <w:rPr>
          <w:sz w:val="28"/>
        </w:rPr>
        <w:t> заявление</w:t>
      </w:r>
      <w:r>
        <w:rPr>
          <w:sz w:val="28"/>
        </w:rPr>
        <w:t xml:space="preserve"> </w:t>
      </w:r>
      <w:r>
        <w:rPr>
          <w:sz w:val="28"/>
        </w:rPr>
        <w:t>и следующие документы:</w:t>
      </w:r>
    </w:p>
    <w:p w14:paraId="04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паспорт заявителя или иной документ, удостоверяющий личность заявителя;</w:t>
      </w:r>
    </w:p>
    <w:p w14:paraId="0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документ о праве на льготы. </w:t>
      </w:r>
    </w:p>
    <w:p w14:paraId="0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Э</w:t>
      </w:r>
      <w:r>
        <w:rPr>
          <w:sz w:val="28"/>
        </w:rPr>
        <w:t xml:space="preserve">лектронный билет пополняется ежемесячно льготником </w:t>
      </w:r>
      <w:r>
        <w:rPr>
          <w:sz w:val="28"/>
        </w:rPr>
        <w:t xml:space="preserve">на сумму </w:t>
      </w:r>
      <w:r>
        <w:rPr>
          <w:sz w:val="28"/>
        </w:rPr>
        <w:t xml:space="preserve">343,00 руб. (сумма ежегодно индексируется) </w:t>
      </w:r>
      <w:r>
        <w:rPr>
          <w:b w:val="1"/>
          <w:sz w:val="28"/>
        </w:rPr>
        <w:t>для осуществления льготного проезда</w:t>
      </w:r>
      <w:r>
        <w:rPr>
          <w:sz w:val="28"/>
        </w:rPr>
        <w:t>:</w:t>
      </w:r>
    </w:p>
    <w:p w14:paraId="07000000">
      <w:pPr>
        <w:widowControl w:val="1"/>
        <w:ind w:firstLine="708"/>
        <w:jc w:val="both"/>
        <w:rPr>
          <w:sz w:val="28"/>
        </w:rPr>
      </w:pPr>
      <w:r>
        <w:rPr>
          <w:b w:val="1"/>
          <w:sz w:val="28"/>
        </w:rPr>
        <w:t>в текущем месяце</w:t>
      </w:r>
      <w:r>
        <w:rPr>
          <w:sz w:val="28"/>
        </w:rPr>
        <w:t xml:space="preserve"> – </w:t>
      </w:r>
      <w:r>
        <w:rPr>
          <w:sz w:val="28"/>
        </w:rPr>
        <w:t>с 1-го по 24-е число текущего месяца;</w:t>
      </w:r>
    </w:p>
    <w:p w14:paraId="08000000">
      <w:pPr>
        <w:widowControl w:val="1"/>
        <w:ind w:firstLine="708"/>
        <w:jc w:val="both"/>
        <w:rPr>
          <w:sz w:val="28"/>
        </w:rPr>
      </w:pPr>
      <w:r>
        <w:rPr>
          <w:b w:val="1"/>
          <w:sz w:val="28"/>
        </w:rPr>
        <w:t>в следующем месяце</w:t>
      </w:r>
      <w:r>
        <w:rPr>
          <w:sz w:val="28"/>
        </w:rPr>
        <w:t xml:space="preserve"> – с 25-го по 31-е число текущего месяца.</w:t>
      </w:r>
    </w:p>
    <w:p w14:paraId="09000000">
      <w:pPr>
        <w:widowControl w:val="1"/>
        <w:ind w:firstLine="708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Для льготного проезда лицам, сопровождающим инвалидов I группы и детей-инвалидов, выдается 1 электронный билет, который пополняется на сумму, равную 2-кратной ежемесячной сумме пополнения (686 руб.).</w:t>
      </w:r>
    </w:p>
    <w:p w14:paraId="0A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При осуществлении льготного проезда федеральными льготниками в транспорте предъявляется один из следующих документов либо его копия, заверенная руководителем органа социальной защиты населения городского округа или муниципального района по месту регистрации федерального льготника:</w:t>
      </w:r>
    </w:p>
    <w:p w14:paraId="0B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удостоверение ветерана Великой Отечественной войны;</w:t>
      </w:r>
    </w:p>
    <w:p w14:paraId="0C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удостоверение, выданное гражданам, подвергшимся радиационному воздействию; </w:t>
      </w:r>
    </w:p>
    <w:p w14:paraId="0D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удостоверение о праве на льготы федеральных льготников иных категорий;</w:t>
      </w:r>
    </w:p>
    <w:p w14:paraId="0E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справка об установлении инвалидности выданная бюро медико-социальной экспертизы или врачебно-трудовой экспертной комиссией.</w:t>
      </w:r>
    </w:p>
    <w:p w14:paraId="0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Количество поездок, совершаемых федеральным льготником по электронному билету, не ограничено.</w:t>
      </w:r>
    </w:p>
    <w:p w14:paraId="1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Электронный билет действует на всей территории Ростовской области и не подлежит передаче другому лицу. </w:t>
      </w:r>
    </w:p>
    <w:p w14:paraId="11000000">
      <w:pPr>
        <w:widowControl w:val="1"/>
        <w:ind w:firstLine="709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Выдача электронных билетов производится в УСЗН Белокалитвинского района по адресу: г. Белая Калитва, ул. Энгельса, д.25, второй этаж,  каб.27</w:t>
      </w:r>
      <w:r>
        <w:rPr>
          <w:sz w:val="28"/>
        </w:rPr>
        <w:t>, телефон для справок 8 (86383) 2-60-46.</w:t>
      </w:r>
    </w:p>
    <w:p w14:paraId="12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Электронный билет</w:t>
      </w:r>
      <w:r>
        <w:rPr>
          <w:sz w:val="28"/>
        </w:rPr>
        <w:t xml:space="preserve"> выда</w:t>
      </w:r>
      <w:r>
        <w:rPr>
          <w:sz w:val="28"/>
        </w:rPr>
        <w:t xml:space="preserve">ется </w:t>
      </w:r>
      <w:r>
        <w:rPr>
          <w:sz w:val="28"/>
        </w:rPr>
        <w:t>орган</w:t>
      </w:r>
      <w:r>
        <w:rPr>
          <w:sz w:val="28"/>
        </w:rPr>
        <w:t>ом</w:t>
      </w:r>
      <w:r>
        <w:rPr>
          <w:sz w:val="28"/>
        </w:rPr>
        <w:t xml:space="preserve"> социальной защиты населения бесплатно.</w:t>
      </w:r>
    </w:p>
    <w:p w14:paraId="13000000">
      <w:pPr>
        <w:widowControl w:val="0"/>
        <w:spacing w:after="0" w:line="240" w:lineRule="auto"/>
        <w:ind w:firstLine="283" w:left="0" w:right="281"/>
        <w:jc w:val="both"/>
        <w:rPr>
          <w:rFonts w:ascii="Times New Roman" w:hAnsi="Times New Roman"/>
          <w:color w:val="000000"/>
          <w:sz w:val="28"/>
        </w:rPr>
      </w:pPr>
    </w:p>
    <w:p w14:paraId="14000000">
      <w:pPr>
        <w:widowControl w:val="0"/>
        <w:spacing w:after="0" w:line="240" w:lineRule="auto"/>
        <w:ind w:firstLine="283" w:left="0" w:right="281"/>
        <w:jc w:val="both"/>
        <w:rPr>
          <w:sz w:val="28"/>
        </w:rPr>
      </w:pPr>
    </w:p>
    <w:p w14:paraId="15000000">
      <w:pPr>
        <w:rPr>
          <w:sz w:val="28"/>
        </w:rPr>
      </w:pPr>
    </w:p>
    <w:sectPr>
      <w:type w:val="continuous"/>
      <w:pgSz w:h="16834" w:orient="portrait" w:w="11909"/>
      <w:pgMar w:bottom="535" w:footer="720" w:gutter="0" w:header="720" w:left="1134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1"/>
    <w:link w:val="Style_8_ch"/>
    <w:rPr>
      <w:rFonts w:ascii="Tahoma" w:hAnsi="Tahoma"/>
      <w:sz w:val="16"/>
    </w:rPr>
  </w:style>
  <w:style w:styleId="Style_8_ch" w:type="character">
    <w:name w:val="Balloon Text"/>
    <w:basedOn w:val="Style_1_ch"/>
    <w:link w:val="Style_8"/>
    <w:rPr>
      <w:rFonts w:ascii="Tahoma" w:hAnsi="Tahoma"/>
      <w:sz w:val="1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Body Text 3"/>
    <w:basedOn w:val="Style_1"/>
    <w:link w:val="Style_12_ch"/>
    <w:pPr>
      <w:widowControl w:val="0"/>
      <w:spacing w:line="240" w:lineRule="atLeast"/>
      <w:ind/>
      <w:jc w:val="center"/>
    </w:pPr>
    <w:rPr>
      <w:b w:val="1"/>
      <w:sz w:val="28"/>
    </w:rPr>
  </w:style>
  <w:style w:styleId="Style_12_ch" w:type="character">
    <w:name w:val="Body Text 3"/>
    <w:basedOn w:val="Style_1_ch"/>
    <w:link w:val="Style_12"/>
    <w:rPr>
      <w:b w:val="1"/>
      <w:sz w:val="28"/>
    </w:rPr>
  </w:style>
  <w:style w:styleId="Style_13" w:type="paragraph">
    <w:name w:val="Hyperlink"/>
    <w:basedOn w:val="Style_14"/>
    <w:link w:val="Style_13_ch"/>
    <w:rPr>
      <w:strike w:val="0"/>
      <w:color w:val="868788"/>
      <w:u w:val="none"/>
    </w:rPr>
  </w:style>
  <w:style w:styleId="Style_13_ch" w:type="character">
    <w:name w:val="Hyperlink"/>
    <w:basedOn w:val="Style_14_ch"/>
    <w:link w:val="Style_13"/>
    <w:rPr>
      <w:strike w:val="0"/>
      <w:color w:val="868788"/>
      <w:u w:val="non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Неразрешенное упоминание1"/>
    <w:basedOn w:val="Style_14"/>
    <w:link w:val="Style_18_ch"/>
    <w:rPr>
      <w:color w:val="605E5C"/>
      <w:shd w:fill="E1DFDD" w:val="clear"/>
    </w:rPr>
  </w:style>
  <w:style w:styleId="Style_18_ch" w:type="character">
    <w:name w:val="Неразрешенное упоминание1"/>
    <w:basedOn w:val="Style_14_ch"/>
    <w:link w:val="Style_18"/>
    <w:rPr>
      <w:color w:val="605E5C"/>
      <w:shd w:fill="E1DFDD" w:val="clear"/>
    </w:rPr>
  </w:style>
  <w:style w:styleId="Style_19" w:type="paragraph">
    <w:name w:val="toc 9"/>
    <w:next w:val="Style_1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2" w:type="paragraph">
    <w:name w:val="Body Text"/>
    <w:basedOn w:val="Style_1"/>
    <w:link w:val="Style_22_ch"/>
    <w:pPr>
      <w:widowControl w:val="0"/>
      <w:spacing w:line="240" w:lineRule="atLeast"/>
      <w:ind/>
      <w:jc w:val="center"/>
    </w:pPr>
    <w:rPr>
      <w:b w:val="1"/>
    </w:rPr>
  </w:style>
  <w:style w:styleId="Style_22_ch" w:type="character">
    <w:name w:val="Body Text"/>
    <w:basedOn w:val="Style_1_ch"/>
    <w:link w:val="Style_22"/>
    <w:rPr>
      <w:b w:val="1"/>
    </w:rPr>
  </w:style>
  <w:style w:styleId="Style_23" w:type="paragraph">
    <w:name w:val="Subtitle"/>
    <w:next w:val="Style_1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basedOn w:val="Style_1"/>
    <w:next w:val="Style_1"/>
    <w:link w:val="Style_25_ch"/>
    <w:uiPriority w:val="9"/>
    <w:qFormat/>
    <w:pPr>
      <w:keepNext w:val="1"/>
      <w:keepLines w:val="1"/>
      <w:widowControl w:val="0"/>
      <w:spacing w:before="40"/>
      <w:ind/>
      <w:outlineLvl w:val="3"/>
    </w:pPr>
    <w:rPr>
      <w:rFonts w:asciiTheme="majorAscii" w:hAnsiTheme="majorHAnsi"/>
      <w:i w:val="1"/>
      <w:color w:themeColor="accent1" w:themeShade="BF" w:val="376092"/>
      <w:sz w:val="20"/>
    </w:rPr>
  </w:style>
  <w:style w:styleId="Style_25_ch" w:type="character">
    <w:name w:val="heading 4"/>
    <w:basedOn w:val="Style_1_ch"/>
    <w:link w:val="Style_25"/>
    <w:rPr>
      <w:rFonts w:asciiTheme="majorAscii" w:hAnsiTheme="majorHAnsi"/>
      <w:i w:val="1"/>
      <w:color w:themeColor="accent1" w:themeShade="BF" w:val="376092"/>
      <w:sz w:val="20"/>
    </w:rPr>
  </w:style>
  <w:style w:styleId="Style_26" w:type="paragraph">
    <w:name w:val="heading 2"/>
    <w:next w:val="Style_1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heading 6"/>
    <w:basedOn w:val="Style_1"/>
    <w:next w:val="Style_1"/>
    <w:link w:val="Style_27_ch"/>
    <w:uiPriority w:val="9"/>
    <w:qFormat/>
    <w:pPr>
      <w:keepNext w:val="1"/>
      <w:keepLines w:val="1"/>
      <w:widowControl w:val="0"/>
      <w:spacing w:before="40"/>
      <w:ind/>
      <w:outlineLvl w:val="5"/>
    </w:pPr>
    <w:rPr>
      <w:rFonts w:asciiTheme="majorAscii" w:hAnsiTheme="majorHAnsi"/>
      <w:color w:themeColor="accent1" w:themeShade="7F" w:val="244061"/>
      <w:sz w:val="20"/>
    </w:rPr>
  </w:style>
  <w:style w:styleId="Style_27_ch" w:type="character">
    <w:name w:val="heading 6"/>
    <w:basedOn w:val="Style_1_ch"/>
    <w:link w:val="Style_27"/>
    <w:rPr>
      <w:rFonts w:asciiTheme="majorAscii" w:hAnsiTheme="majorHAnsi"/>
      <w:color w:themeColor="accent1" w:themeShade="7F" w:val="244061"/>
      <w:sz w:val="20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2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2026-04-17T13:21:28Z</dcterms:created>
  <dcterms:modified xsi:type="dcterms:W3CDTF">2026-04-17T13:21:58Z</dcterms:modified>
</cp:coreProperties>
</file>