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Зарегистрировано в Минюсте России 29 ноября 2024 г. N 80396</w:t>
      </w:r>
    </w:p>
    <w:p w:rsidR="0057179B" w:rsidRDefault="0057179B" w:rsidP="0057179B">
      <w:pPr>
        <w:widowControl w:val="0"/>
        <w:pBdr>
          <w:bottom w:val="single" w:sz="4" w:space="1" w:color="auto"/>
        </w:pBd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4"/>
          <w:szCs w:val="4"/>
        </w:rPr>
        <w:t> </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МИНИСТЕРСТВО СЕЛЬСКОГО ХОЗЯЙСТВА РОССИЙСКОЙ ФЕДЕРАЦИИ</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center"/>
        <w:rPr>
          <w:rFonts w:ascii="Times New Roman" w:hAnsi="Times New Roman" w:cs="Times New Roman"/>
          <w:b/>
          <w:bCs/>
          <w:sz w:val="36"/>
          <w:szCs w:val="36"/>
        </w:rPr>
      </w:pPr>
      <w:r>
        <w:rPr>
          <w:rFonts w:ascii="Times New Roman" w:hAnsi="Times New Roman" w:cs="Times New Roman"/>
          <w:b/>
          <w:bCs/>
          <w:sz w:val="36"/>
          <w:szCs w:val="36"/>
        </w:rPr>
        <w:t>ПРИКАЗ</w:t>
      </w:r>
    </w:p>
    <w:p w:rsidR="0057179B" w:rsidRDefault="0057179B" w:rsidP="0057179B">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от 11 ноября 2024 г. N 677</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ОБ УТВЕРЖДЕНИИ ВЕТЕРИНАРНЫХ ПРАВИЛ СБОРА, ХРАНЕНИЯ, ПЕРЕМЕЩЕНИЯ, УТИЛИЗАЦИИ И УНИЧТОЖЕНИЯ БИОЛОГИЧЕСКИХ ОТХОДОВ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7" w:history="1">
        <w:r>
          <w:rPr>
            <w:rFonts w:ascii="Times New Roman" w:hAnsi="Times New Roman" w:cs="Times New Roman"/>
            <w:sz w:val="24"/>
            <w:szCs w:val="24"/>
            <w:u w:val="single"/>
          </w:rPr>
          <w:t>статьей 2.1</w:t>
        </w:r>
      </w:hyperlink>
      <w:r>
        <w:rPr>
          <w:rFonts w:ascii="Times New Roman" w:hAnsi="Times New Roman" w:cs="Times New Roman"/>
          <w:sz w:val="24"/>
          <w:szCs w:val="24"/>
        </w:rPr>
        <w:t xml:space="preserve"> Закона Российской Федерации от 14 мая 1993 г. N 4979-1 "О ветеринарии" и подпунктом 5.2.9 пункта 5 Положения о Министерстве сельского хозяйства Российской Федерации, утвержденного постановлением Правительства Российской Федерации от 12 июня 2008 г. N 450, приказываю:</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Утвердить прилагаемые Ветеринарные правила сбора, хранения, перемещения, утилизации и уничтожения биологических отходов.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Признать утратившим силу приказ Минсельхоза России </w:t>
      </w:r>
      <w:hyperlink r:id="rId8" w:history="1">
        <w:r>
          <w:rPr>
            <w:rFonts w:ascii="Times New Roman" w:hAnsi="Times New Roman" w:cs="Times New Roman"/>
            <w:sz w:val="24"/>
            <w:szCs w:val="24"/>
            <w:u w:val="single"/>
          </w:rPr>
          <w:t>от 26 октября 2020 г. N 626</w:t>
        </w:r>
      </w:hyperlink>
      <w:r>
        <w:rPr>
          <w:rFonts w:ascii="Times New Roman" w:hAnsi="Times New Roman" w:cs="Times New Roman"/>
          <w:sz w:val="24"/>
          <w:szCs w:val="24"/>
        </w:rPr>
        <w:t xml:space="preserve"> "Об утверждении Ветеринарных правил перемещения, хранения, переработки и утилизации биологических отходов" (зарегистрирован Минюстом России 29 октября 2020 г., регистрационный N 60657).</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Настоящий приказ вступает в силу с 1 марта 2025 г. и действует до 1 марта 2031 г.</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Министр</w:t>
      </w:r>
    </w:p>
    <w:p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О.Н. ЛУТ</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УТВЕРЖДЕНЫ</w:t>
      </w:r>
    </w:p>
    <w:p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приказом Минсельхоза России</w:t>
      </w:r>
    </w:p>
    <w:p w:rsidR="0057179B" w:rsidRDefault="0057179B" w:rsidP="0057179B">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от 11 ноября 2024 г. N 677</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center"/>
        <w:rPr>
          <w:rFonts w:ascii="Times New Roman" w:hAnsi="Times New Roman" w:cs="Times New Roman"/>
          <w:sz w:val="36"/>
          <w:szCs w:val="36"/>
        </w:rPr>
      </w:pPr>
      <w:r>
        <w:rPr>
          <w:rFonts w:ascii="Times New Roman" w:hAnsi="Times New Roman" w:cs="Times New Roman"/>
          <w:b/>
          <w:bCs/>
          <w:sz w:val="36"/>
          <w:szCs w:val="36"/>
        </w:rPr>
        <w:t>ВЕТЕРИНАРНЫЕ ПРАВИЛА СБОРА, ХРАНЕНИЯ, ПЕРЕМЕЩЕНИЯ, УТИЛИЗАЦИИ И УНИЧТОЖЕНИЯ БИОЛОГИЧЕСКИХ ОТХОДОВ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Ветеринарные правила сбора, хранения, перемещения, утилизации и уничтожения биологических отходов (далее - Правила) устанавливают обязательные для исполнения организациями и гражданами требования при сборе, хранении, перемещении, утилизации и уничтожении биологических отходов, за исключением биологических отходов, относящихся к радиоактивным отходам в соответствии с </w:t>
      </w:r>
      <w:hyperlink r:id="rId9" w:history="1">
        <w:r>
          <w:rPr>
            <w:rFonts w:ascii="Times New Roman" w:hAnsi="Times New Roman" w:cs="Times New Roman"/>
            <w:sz w:val="24"/>
            <w:szCs w:val="24"/>
            <w:u w:val="single"/>
          </w:rPr>
          <w:t>критериями</w:t>
        </w:r>
      </w:hyperlink>
      <w:r>
        <w:rPr>
          <w:rFonts w:ascii="Times New Roman" w:hAnsi="Times New Roman" w:cs="Times New Roman"/>
          <w:sz w:val="24"/>
          <w:szCs w:val="24"/>
        </w:rPr>
        <w:t xml:space="preserve"> отнесения твердых, жидких и газообразных отходов к радиоактивным отходам, </w:t>
      </w:r>
      <w:hyperlink r:id="rId10" w:history="1">
        <w:r>
          <w:rPr>
            <w:rFonts w:ascii="Times New Roman" w:hAnsi="Times New Roman" w:cs="Times New Roman"/>
            <w:sz w:val="24"/>
            <w:szCs w:val="24"/>
            <w:u w:val="single"/>
          </w:rPr>
          <w:t>критериями</w:t>
        </w:r>
      </w:hyperlink>
      <w:r>
        <w:rPr>
          <w:rFonts w:ascii="Times New Roman" w:hAnsi="Times New Roman" w:cs="Times New Roman"/>
          <w:sz w:val="24"/>
          <w:szCs w:val="24"/>
        </w:rPr>
        <w:t xml:space="preserve"> отнесения радиоактивных отходов к особым радиоактивным отходам и к удаляемым радиоактивным отходам и </w:t>
      </w:r>
      <w:hyperlink r:id="rId11" w:history="1">
        <w:r>
          <w:rPr>
            <w:rFonts w:ascii="Times New Roman" w:hAnsi="Times New Roman" w:cs="Times New Roman"/>
            <w:sz w:val="24"/>
            <w:szCs w:val="24"/>
            <w:u w:val="single"/>
          </w:rPr>
          <w:t>критериями</w:t>
        </w:r>
      </w:hyperlink>
      <w:r>
        <w:rPr>
          <w:rFonts w:ascii="Times New Roman" w:hAnsi="Times New Roman" w:cs="Times New Roman"/>
          <w:sz w:val="24"/>
          <w:szCs w:val="24"/>
        </w:rPr>
        <w:t xml:space="preserve"> классификации удаляемых радиоактивных отходов, утвержденными постановлением Правительства Российской Федерации от 19 октября 2012 г. N 1069, обращение с которыми регулируется Федеральным законом </w:t>
      </w:r>
      <w:hyperlink r:id="rId12" w:history="1">
        <w:r>
          <w:rPr>
            <w:rFonts w:ascii="Times New Roman" w:hAnsi="Times New Roman" w:cs="Times New Roman"/>
            <w:sz w:val="24"/>
            <w:szCs w:val="24"/>
            <w:u w:val="single"/>
          </w:rPr>
          <w:t>от 11 июля 2011 г. N 190-ФЗ</w:t>
        </w:r>
      </w:hyperlink>
      <w:r>
        <w:rPr>
          <w:rFonts w:ascii="Times New Roman" w:hAnsi="Times New Roman" w:cs="Times New Roman"/>
          <w:sz w:val="24"/>
          <w:szCs w:val="24"/>
        </w:rPr>
        <w:t xml:space="preserve"> "Об обращении с радиоактивными отходами и о внесении изменений в отдельные законодательные акты Российской Федерации".</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Сбор биологических отходов осуществляется в местах их образования или обнаружения.</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Сбор, хранение биологических отходов и их перемещение к местам хранения, утилизации или уничтожения (далее - перемещение биологических отходов) должны осуществляться с использованием закрываемых емкостей, исключающих высыпание, утечку биологических отходов (далее - емкости для биологических отходов), если иное не установлено Правилами.</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использовании емкостей для биологических отходов за счет их конструктивных характеристик:</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 должен допускаться прямой контакт содержимого таких емкостей с окружающей средой &lt;1&gt;;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&lt;1&gt; Абзац второй </w:t>
      </w:r>
      <w:hyperlink r:id="rId13" w:history="1">
        <w:r>
          <w:rPr>
            <w:rFonts w:ascii="Times New Roman" w:hAnsi="Times New Roman" w:cs="Times New Roman"/>
            <w:sz w:val="24"/>
            <w:szCs w:val="24"/>
            <w:u w:val="single"/>
          </w:rPr>
          <w:t>статьи 1</w:t>
        </w:r>
      </w:hyperlink>
      <w:r>
        <w:rPr>
          <w:rFonts w:ascii="Times New Roman" w:hAnsi="Times New Roman" w:cs="Times New Roman"/>
          <w:sz w:val="24"/>
          <w:szCs w:val="24"/>
        </w:rPr>
        <w:t xml:space="preserve"> Федерального закона от 10 января 2002 г. N 7-ФЗ "Об охране окружающей среды".</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должна обеспечиваться защита емкости для биологических отходов от самопроизвольного открывания и проникновения в них животных;</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должна обеспечиваться устойчивость к процессам очищения, мойки и дезинфекции, воздействию моющих и дезинфицирующих средств (при многоразовом использовании емкостей для биологических отходов).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Повторное использование одноразовых емкостей для биологических отходов не допускается.</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Емкости для биологических отходов в форме пакетов, мешков должны быть заполнены не более чем на 3/4 от их объема.</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Для сбора, хранения, перемещения биологических отходов, включенных в перечень, установленный в соответствии с пунктом 3 статьи 4.3 Закона Российской Федерации </w:t>
      </w:r>
      <w:hyperlink r:id="rId14" w:history="1">
        <w:r>
          <w:rPr>
            <w:rFonts w:ascii="Times New Roman" w:hAnsi="Times New Roman" w:cs="Times New Roman"/>
            <w:sz w:val="24"/>
            <w:szCs w:val="24"/>
            <w:u w:val="single"/>
          </w:rPr>
          <w:t>от 14 мая 1993 г. N 4979-1</w:t>
        </w:r>
      </w:hyperlink>
      <w:r>
        <w:rPr>
          <w:rFonts w:ascii="Times New Roman" w:hAnsi="Times New Roman" w:cs="Times New Roman"/>
          <w:sz w:val="24"/>
          <w:szCs w:val="24"/>
        </w:rPr>
        <w:t xml:space="preserve"> "О ветеринарии" (далее - Закон), за исключением биологических отходов, предусмотренных пунктом 5 Правил (далее - умеренно опасные биологические отходы), должны использоваться емкости для биологических отходов с надписью "умеренно опасные биологические отходы".</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Для сбора, хранения, перемещения биологических отходов, полученных от животных, в отношении которых по результатам проведенных исследований принято решение о направлении мяса и продуктов убоя (промысла) животных на уничтожение &lt;2&gt;, и (или) которые заражены возбудителями африканской чумы свиней, бешенства, блютанга, высокопатогенного гриппа птиц, гриппа лошадей, губкообразной энцефалопатии крупного рогатого скота, оспы овец и коз, сапа, скрепи овец и коз, сибирской язвы, трихинеллеза, туляремии, чумы верблюдов, чумы крупного рогатого скота, чумы мелких жвачных животных, эмфизематозного карбункула (эмкара), ящура и возбудителями болезней животных, впервые выявленными на территории Российской Федерации, и (или) которые являются материалами, повышающими риск передачи губкообразной энцефалопатии крупного рогатого скота &lt;3&gt;, и (или) в отношении которых невозможно подтвердить их происхождение или владелец не установлен (далее - особо опасные биологические отходы), должны использоваться емкости для биологических отходов с надписью "особо опасные биологические отходы".</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&lt;2&gt; Подпункт "г" пункта 22 Ветеринарных правил назначения и проведения ветеринарно-санитарной экспертизы мяса и продуктов убоя (промысла) животных, предназначенных для переработки и (или) реализации, утвержденных приказом Минсельхоза России от 28 апреля 2022 г. N 269 (зарегистрирован Минюстом России 2 июня 2022 г., регистрационный N 68718), с изменениями, внесенными приказами Минсельхоза России от 18 ноября 2022 г. N 818 (зарегистрирован Минюстом России 24 января 2023 г., регистрационный N 72115) и от 16 мая 2023 г. N 501 (зарегистрирован Минюстом России 16 июня 2023 г., регистрационный N 73866) (далее - приказ N 269). Согласно пункту 4 приказа N 269 данный акт действует до 1 сентября 2028 г.</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&lt;3&gt; Абзац седьмой пункта 7 Ветеринарных правил осуществления профилактических, диагностических, ограничительных и иных мероприятий, установления и отмены карантина и иных ограничений, направленных на предотвращение распространения и ликвидацию очагов губкообразной энцефалопатии крупного рогатого скота, утвержденных приказом Минсельхоза России от 21 мая 2021 г. N 327 (зарегистрирован Минюстом России 31 мая 2021 г., регистрационный N 63691) (далее - приказ N 327). Согласно пункту 2 приказа N 327 данный акт действует до 1 сентября 2027 г.</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Хранение биологических отходов должно осуществляться в емкостях для биологических отходов, расположенных в помещениях для хранения биологических отходов, оборудованных запирающими устройствами для предотвращения доступа к биологическим отходам посторонних лиц и животных, охладительным или морозильным оборудованием, укомплектованным термометрами (термографами, терморегистраторами) (далее - помещения для хранения биологических отходов), за исключением случая, установленного пунктом 7 Правил.</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Допускается хранение умеренно опасных биологических отходов в емкостях для биологических отходов, расположенных в холодильниках, оборудованных запирающими устройствами для предотвращения доступа к биологическим отходам посторонних лиц и животных и термометрами (термографами, терморегистраторами).</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Стены, перегородки, потолок, пол в помещениях для хранения биологических отходов должны быть выполнены из материалов, устойчивых к воздействию моющих и дезинфицирующих средств. Внутренние поверхности помещения для хранения биологических отходов и инвентарь в таких помещениях, которые сделаны из деревянных материалов, должны быть окрашены.</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Не допускается хранение биологических отходов в одном помещении с продукцией животного происхождения, кормами и (или) кормовыми добавками.</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Срок хранения биологических отходов не должен превышать:</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плюс 4 до 0 °C - 2 суток;</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минус 1 до минус 7 °C - 3 суток;</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минус 8 до минус 10 °C - 7 суток;</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минус 11 до минус 17 °C - 30 суток;</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температуре от минус 18 °C и ниже - 12 месяцев.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Для хранения умеренно опасных биологических отходов, образовавшихся на территориях, используемых организациями и гражданами &lt;4&gt;, осуществляющими разведение и содержание животных, в течение не более чем 48 часов с момента их образования допускается размещение емкостей для биологических отходов на указанных территориях на площадке для временного хранения биологических отходов, которая должна быть оборудована навесом, иметь твердое, влагонепроницаемое покрытие с уклонами, обеспечивающими стоки и отвод сточных вод и атмосферных осадков, без соблюдения положений, предусмотренных пунктами 6 - 10 Правил. Площадка для временного хранения биологических отходов должна быть расположена на границе территорий, используемых организациями и гражданами, с подветренной стороны по отношению к местам для содержания животных и иметь подъездные пути.</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&lt;4&gt; Пункт 1 статьи 4.4 </w:t>
      </w:r>
      <w:hyperlink r:id="rId15" w:history="1">
        <w:r>
          <w:rPr>
            <w:rFonts w:ascii="Times New Roman" w:hAnsi="Times New Roman" w:cs="Times New Roman"/>
            <w:sz w:val="24"/>
            <w:szCs w:val="24"/>
            <w:u w:val="single"/>
          </w:rPr>
          <w:t>Закона</w:t>
        </w:r>
      </w:hyperlink>
      <w:r>
        <w:rPr>
          <w:rFonts w:ascii="Times New Roman" w:hAnsi="Times New Roman" w:cs="Times New Roman"/>
          <w:sz w:val="24"/>
          <w:szCs w:val="24"/>
        </w:rPr>
        <w:t>.</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Сбор и перемещение трупов животных, образовавшихся при одновременном массовом заболевании животных, а также трупов животных, масса каждого из которых составляет более 25 кг, за исключением трупов животных, контаминированных возбудителями сибирской язвы, чумы крупного рогатого скота, допускается осуществлять без использования емкостей для биологических отходов.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Перемещение трупов животных, указанных в абзаце первом настоящего пункта Правил, допускается осуществлять с использованием транспортных средств, а также с соблюдением условий, указанных в пункте 13 Правил.</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13. Перемещение биологических отходов должно осуществляться способами, исключающими вытекание (высыпание) биологических отходов.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14. Поверхности транспортных средств, которые контактировали с биологическими отходами, емкости для биологических отходов (за исключением одноразовых емкостей для биологических отходов), тенты или иные приспособления, используемые для накрывания биологических отходов при их перемещении, инвентарь, используемый при перемещении биологических отходов, должны дезинфицироваться после каждого случая перемещения биологических отходов с использованием 4-процентного раствора едкого натра, или 3-процентного раствора формальдегида, или раствора препаратов, содержащих не менее 3% активного хлора, при норме расхода жидкости 0,5 л на 1 м2, или другого дезинфицирующего средства, обладающего инактивирующим действием в отношении возбудителей особо опасных болезней животных, включенных в перечень заразных, в том числе особо опасных, болезней животных, по которым могут устанавливаться ограничительные мероприятия (карантин), утвержденный приказом Минсельхоза России от 19 декабря 2011 г. N 476 &lt;5&gt;.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&lt;5&gt; Зарегистрирован Минюстом России 13 февраля 2012 г., регистрационный N 23206. С изменениями, внесенными приказами Минсельхоза России от 20 июля 2016 г. N 317 (зарегистрирован Минюстом России 9 августа 2016 г., регистрационный N 43179), от 30 января 2017 г. N 40 (зарегистрирован Минюстом России 27 февраля 2017 г., регистрационный N 45771), от 15 февраля 2017 г. N 67 (зарегистрирован Минюстом России 13 марта 2017 г., регистрационный N 45915), от 25 сентября 2020 г. N 565 (зарегистрирован Минюстом России 22 октября 2020 г., регистрационный N 60518).</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15. Не допускается перемещение биологических отходов в одном транспортном средстве совместно с другими грузами.</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16. Утилизация умеренно опасных биологических отходов допускается посредством производства кормов и кормовых добавок, удобрений, биогаза и другой продукции технического назначения.</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17. Утилизация умеренно опасных биологических отходов, контаминированных возбудителями болезней животных, должна осуществляться при соблюдении режимов, обеспечивающих инактивацию возбудителей болезней животных.</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18. Для организаций и граждан, в процессе деятельности которых образуются умеренно опасные биологические отходы, допускается осуществлять утилизацию умеренно опасных биологических отходов посредством предварительного измельчения и последующей проварки в котлах или иных емкостях не менее 2 часов при температуре не менее 100 °C. Полученная продукция должна использоваться такими организациями и гражданами в течение 12 часов с момента приготовления для кормления животных, за исключением крупного рогатого скота, овец, коз, или направляться на утилизацию или уничтожение.</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19. Утилизация особо опасных биологических отходов не допускается.</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20. Ввоз на территорию организаций и граждан, на которой осуществляется разведение и содержание животных, умеренно опасных биологических отходов для хранения, утилизации и (или) уничтожения допускается с территорий организаций и граждан, осуществляющих разведение и содержание животных, расположенных в регионе со статусом "благополучный регион" &lt;6&gt; по заразным болезням животных. Места хранения, утилизации и уничтожения ввезенных умеренно опасных биологических отходов должны располагаться на расстоянии не менее 1000 м от мест содержания животных.</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&lt;6&gt; Пункт 2.4 Ветеринарных правил проведения регионализации территории Российской Федерации, утвержденных приказом Минсельхоза России от 14 декабря 2015 г. N 635 (зарегистрирован Минюстом России 23 марта 2016 г., регистрационный N 41508), с изменениями, внесенными приказами Минсельхоза России от 8 декабря 2020 г. N 735 (зарегистрирован Минюстом России 29 января 2021 г., регистрационный N 62284) и от 22 ноября 2021 г. N 784 (зарегистрирован Минюстом России 28 декабря 2021 г., регистрационный N 66604).</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21. Уничтожение умеренно опасных биологических отходов должно осуществляться посредством уничтожения в скотомогильниках посредством их сброса в биотермическую яму под наблюдением специалиста в области ветеринарии, являющегося уполномоченным лицом органов и организаций, входящих в систему Государственной ветеринарной службы Российской Федерации (далее - специалист госветслужбы) &lt;7&gt;, либо сжигания в печах (крематорах, инсинераторах) или под открытым небом в траншеях (ямах) до образования негорючего остатка.</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&lt;7&gt; Пункт 2 статьи 5 </w:t>
      </w:r>
      <w:hyperlink r:id="rId16" w:history="1">
        <w:r>
          <w:rPr>
            <w:rFonts w:ascii="Times New Roman" w:hAnsi="Times New Roman" w:cs="Times New Roman"/>
            <w:sz w:val="24"/>
            <w:szCs w:val="24"/>
            <w:u w:val="single"/>
          </w:rPr>
          <w:t>Закона</w:t>
        </w:r>
      </w:hyperlink>
      <w:r>
        <w:rPr>
          <w:rFonts w:ascii="Times New Roman" w:hAnsi="Times New Roman" w:cs="Times New Roman"/>
          <w:sz w:val="24"/>
          <w:szCs w:val="24"/>
        </w:rPr>
        <w:t>.</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22. Уничтожение особо опасных биологических отходов должно осуществляться под наблюдением специалиста госветслужбы путем сжигания в печах (крематорах, инсинераторах) или под открытым небом в траншеях (ямах) до образования негорючего остатка.</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23. Уничтожение умеренно опасных биологических отходов и особо опасных биологических отходов под открытым небом в траншеях (ямах) до образования негорючего остатка допускается в одном из следующих случаев: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образование трупов животных при одновременном массовом заболевании животных;</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образование биологических отходов при отгонном животноводстве, включая оленеводство, в районах Крайнего Севера, перечень которых устанавливается Правительством Российской Федерации &lt;8&gt;.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&lt;8&gt; </w:t>
      </w:r>
      <w:hyperlink r:id="rId17" w:history="1">
        <w:r>
          <w:rPr>
            <w:rFonts w:ascii="Times New Roman" w:hAnsi="Times New Roman" w:cs="Times New Roman"/>
            <w:sz w:val="24"/>
            <w:szCs w:val="24"/>
            <w:u w:val="single"/>
          </w:rPr>
          <w:t>Статья 2</w:t>
        </w:r>
      </w:hyperlink>
      <w:r>
        <w:rPr>
          <w:rFonts w:ascii="Times New Roman" w:hAnsi="Times New Roman" w:cs="Times New Roman"/>
          <w:sz w:val="24"/>
          <w:szCs w:val="24"/>
        </w:rPr>
        <w:t xml:space="preserve"> Закона Российской Федерации от 19 февраля 1993 г. N 4520-1 "О государственных гарантиях и компенсациях для лиц, работающих и проживающих в районах Крайнего Севера и приравненных к ним местностях".</w:t>
      </w:r>
    </w:p>
    <w:p w:rsidR="0057179B" w:rsidRDefault="0057179B" w:rsidP="0057179B">
      <w:pPr>
        <w:widowControl w:val="0"/>
        <w:autoSpaceDE w:val="0"/>
        <w:autoSpaceDN w:val="0"/>
        <w:adjustRightInd w:val="0"/>
        <w:spacing w:after="0" w:line="240" w:lineRule="auto"/>
        <w:rPr>
          <w:rFonts w:ascii="Times New Roman" w:hAnsi="Times New Roman" w:cs="Times New Roman"/>
          <w:sz w:val="24"/>
          <w:szCs w:val="24"/>
        </w:rPr>
      </w:pP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 Уничтожение биологических отходов в случаях, предусмотренных пунктом 23 настоящих Правил, должно осуществляться под наблюдением специалиста госветслужбы.</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25. Траншея (яма) для сжигания биологических отходов должна быть обустроена так, чтобы обеспечивалось нахождение продуктов сжигания биологических отходов в пределах траншеи (ямы).</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26. Зола и другие негорючие остатки должны захораниваться в той же траншее (яме), в которой проводилось сжигание биологических отходов.</w:t>
      </w:r>
    </w:p>
    <w:p w:rsidR="0057179B" w:rsidRDefault="0057179B" w:rsidP="0057179B">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27. Запрещается захоронение биологических отходов в землю, вывоз их на объекты размещения отходов производства и потребления, сброс в бытовые мусорные контейнеры, в поля, леса, овраги, водные объекты, если иное не установлено правилами рыболовства, утвержденными федеральным органом исполнительной власти в области рыболовства в соответствии со </w:t>
      </w:r>
      <w:hyperlink r:id="rId18" w:history="1">
        <w:r>
          <w:rPr>
            <w:rFonts w:ascii="Times New Roman" w:hAnsi="Times New Roman" w:cs="Times New Roman"/>
            <w:sz w:val="24"/>
            <w:szCs w:val="24"/>
            <w:u w:val="single"/>
          </w:rPr>
          <w:t>статьей 43.1</w:t>
        </w:r>
      </w:hyperlink>
      <w:r>
        <w:rPr>
          <w:rFonts w:ascii="Times New Roman" w:hAnsi="Times New Roman" w:cs="Times New Roman"/>
          <w:sz w:val="24"/>
          <w:szCs w:val="24"/>
        </w:rPr>
        <w:t xml:space="preserve"> Федерального закона от 20 декабря 2004 г. N 166-ФЗ "О рыболовстве и сохранении водных биологических ресурсов".</w:t>
      </w:r>
    </w:p>
    <w:p w:rsidR="00AF2D14" w:rsidRDefault="00AF2D14">
      <w:pPr>
        <w:rPr>
          <w:rFonts w:ascii="Times New Roman" w:hAnsi="Times New Roman" w:cs="Times New Roman"/>
          <w:sz w:val="24"/>
          <w:szCs w:val="24"/>
        </w:rPr>
      </w:pPr>
      <w:bookmarkStart w:id="0" w:name="_GoBack"/>
      <w:bookmarkEnd w:id="0"/>
    </w:p>
    <w:sectPr w:rsidR="00AF2D14">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A71" w:rsidRDefault="00E94A71">
      <w:pPr>
        <w:spacing w:after="0" w:line="240" w:lineRule="auto"/>
      </w:pPr>
      <w:r>
        <w:separator/>
      </w:r>
    </w:p>
  </w:endnote>
  <w:endnote w:type="continuationSeparator" w:id="0">
    <w:p w:rsidR="00E94A71" w:rsidRDefault="00E94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A71" w:rsidRDefault="00E94A71">
      <w:pPr>
        <w:spacing w:after="0" w:line="240" w:lineRule="auto"/>
      </w:pPr>
      <w:r>
        <w:separator/>
      </w:r>
    </w:p>
  </w:footnote>
  <w:footnote w:type="continuationSeparator" w:id="0">
    <w:p w:rsidR="00E94A71" w:rsidRDefault="00E94A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E41BD"/>
    <w:multiLevelType w:val="hybridMultilevel"/>
    <w:tmpl w:val="566A7D26"/>
    <w:lvl w:ilvl="0" w:tplc="85E65B8A">
      <w:start w:val="1"/>
      <w:numFmt w:val="bullet"/>
      <w:lvlText w:val="·"/>
      <w:lvlJc w:val="left"/>
      <w:pPr>
        <w:ind w:left="709" w:hanging="360"/>
      </w:pPr>
      <w:rPr>
        <w:rFonts w:ascii="Symbol" w:eastAsia="Symbol" w:hAnsi="Symbol" w:cs="Symbol" w:hint="default"/>
        <w:color w:val="FFFFFF"/>
        <w:sz w:val="20"/>
        <w:highlight w:val="none"/>
      </w:rPr>
    </w:lvl>
    <w:lvl w:ilvl="1" w:tplc="5A94539A">
      <w:start w:val="1"/>
      <w:numFmt w:val="bullet"/>
      <w:lvlText w:val="·"/>
      <w:lvlJc w:val="left"/>
      <w:pPr>
        <w:ind w:left="1429" w:hanging="360"/>
      </w:pPr>
      <w:rPr>
        <w:rFonts w:ascii="Symbol" w:eastAsia="Symbol" w:hAnsi="Symbol" w:cs="Symbol" w:hint="default"/>
        <w:color w:val="FFFFFF"/>
        <w:sz w:val="20"/>
        <w:highlight w:val="none"/>
      </w:rPr>
    </w:lvl>
    <w:lvl w:ilvl="2" w:tplc="AB3228C8">
      <w:start w:val="1"/>
      <w:numFmt w:val="bullet"/>
      <w:lvlText w:val="·"/>
      <w:lvlJc w:val="left"/>
      <w:pPr>
        <w:ind w:left="2149" w:hanging="360"/>
      </w:pPr>
      <w:rPr>
        <w:rFonts w:ascii="Symbol" w:eastAsia="Symbol" w:hAnsi="Symbol" w:cs="Symbol" w:hint="default"/>
        <w:color w:val="FFFFFF"/>
        <w:sz w:val="20"/>
        <w:highlight w:val="none"/>
      </w:rPr>
    </w:lvl>
    <w:lvl w:ilvl="3" w:tplc="F86AB818">
      <w:start w:val="1"/>
      <w:numFmt w:val="bullet"/>
      <w:lvlText w:val="·"/>
      <w:lvlJc w:val="left"/>
      <w:pPr>
        <w:ind w:left="2869" w:hanging="360"/>
      </w:pPr>
      <w:rPr>
        <w:rFonts w:ascii="Symbol" w:eastAsia="Symbol" w:hAnsi="Symbol" w:cs="Symbol" w:hint="default"/>
        <w:color w:val="FFFFFF"/>
        <w:sz w:val="20"/>
        <w:highlight w:val="none"/>
      </w:rPr>
    </w:lvl>
    <w:lvl w:ilvl="4" w:tplc="E438C664">
      <w:start w:val="1"/>
      <w:numFmt w:val="bullet"/>
      <w:lvlText w:val="·"/>
      <w:lvlJc w:val="left"/>
      <w:pPr>
        <w:ind w:left="3589" w:hanging="360"/>
      </w:pPr>
      <w:rPr>
        <w:rFonts w:ascii="Symbol" w:eastAsia="Symbol" w:hAnsi="Symbol" w:cs="Symbol" w:hint="default"/>
        <w:color w:val="FFFFFF"/>
        <w:sz w:val="20"/>
        <w:highlight w:val="none"/>
      </w:rPr>
    </w:lvl>
    <w:lvl w:ilvl="5" w:tplc="70002C9E">
      <w:start w:val="1"/>
      <w:numFmt w:val="bullet"/>
      <w:lvlText w:val="·"/>
      <w:lvlJc w:val="left"/>
      <w:pPr>
        <w:ind w:left="4309" w:hanging="360"/>
      </w:pPr>
      <w:rPr>
        <w:rFonts w:ascii="Symbol" w:eastAsia="Symbol" w:hAnsi="Symbol" w:cs="Symbol" w:hint="default"/>
        <w:color w:val="FFFFFF"/>
        <w:sz w:val="20"/>
        <w:highlight w:val="none"/>
      </w:rPr>
    </w:lvl>
    <w:lvl w:ilvl="6" w:tplc="F3C44B66">
      <w:start w:val="1"/>
      <w:numFmt w:val="bullet"/>
      <w:lvlText w:val="·"/>
      <w:lvlJc w:val="left"/>
      <w:pPr>
        <w:ind w:left="5029" w:hanging="360"/>
      </w:pPr>
      <w:rPr>
        <w:rFonts w:ascii="Symbol" w:eastAsia="Symbol" w:hAnsi="Symbol" w:cs="Symbol" w:hint="default"/>
        <w:color w:val="FFFFFF"/>
        <w:sz w:val="20"/>
        <w:highlight w:val="none"/>
      </w:rPr>
    </w:lvl>
    <w:lvl w:ilvl="7" w:tplc="14FC813E">
      <w:start w:val="1"/>
      <w:numFmt w:val="bullet"/>
      <w:lvlText w:val="·"/>
      <w:lvlJc w:val="left"/>
      <w:pPr>
        <w:ind w:left="5749" w:hanging="360"/>
      </w:pPr>
      <w:rPr>
        <w:rFonts w:ascii="Symbol" w:eastAsia="Symbol" w:hAnsi="Symbol" w:cs="Symbol" w:hint="default"/>
        <w:color w:val="FFFFFF"/>
        <w:sz w:val="20"/>
        <w:highlight w:val="none"/>
      </w:rPr>
    </w:lvl>
    <w:lvl w:ilvl="8" w:tplc="C78272CE">
      <w:start w:val="1"/>
      <w:numFmt w:val="bullet"/>
      <w:lvlText w:val="·"/>
      <w:lvlJc w:val="left"/>
      <w:pPr>
        <w:ind w:left="6469" w:hanging="360"/>
      </w:pPr>
      <w:rPr>
        <w:rFonts w:ascii="Symbol" w:eastAsia="Symbol" w:hAnsi="Symbol" w:cs="Symbol" w:hint="default"/>
        <w:color w:val="FFFFFF"/>
        <w:sz w:val="20"/>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D14"/>
    <w:rsid w:val="001842F8"/>
    <w:rsid w:val="00247C2D"/>
    <w:rsid w:val="0057179B"/>
    <w:rsid w:val="006A27E5"/>
    <w:rsid w:val="00AF2D14"/>
    <w:rsid w:val="00B60D68"/>
    <w:rsid w:val="00E32E43"/>
    <w:rsid w:val="00E71E3C"/>
    <w:rsid w:val="00E9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47D66-D89B-43C2-889D-04A5D544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No Spacing"/>
    <w:basedOn w:val="a"/>
    <w:uiPriority w:val="1"/>
    <w:qFormat/>
    <w:pPr>
      <w:spacing w:after="0" w:line="240" w:lineRule="auto"/>
    </w:pPr>
  </w:style>
  <w:style w:type="paragraph" w:styleId="af9">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5031#l0" TargetMode="External"/><Relationship Id="rId13" Type="http://schemas.openxmlformats.org/officeDocument/2006/relationships/hyperlink" Target="https://normativ.kontur.ru/document?moduleid=1&amp;documentid=475005#l6" TargetMode="External"/><Relationship Id="rId18" Type="http://schemas.openxmlformats.org/officeDocument/2006/relationships/hyperlink" Target="https://normativ.kontur.ru/document?moduleid=1&amp;documentid=479921#l397" TargetMode="External"/><Relationship Id="rId3" Type="http://schemas.openxmlformats.org/officeDocument/2006/relationships/settings" Target="settings.xml"/><Relationship Id="rId7" Type="http://schemas.openxmlformats.org/officeDocument/2006/relationships/hyperlink" Target="https://normativ.kontur.ru/document?moduleid=1&amp;documentid=475732#l1211" TargetMode="External"/><Relationship Id="rId12" Type="http://schemas.openxmlformats.org/officeDocument/2006/relationships/hyperlink" Target="https://normativ.kontur.ru/document?moduleid=1&amp;documentid=411524#l0" TargetMode="External"/><Relationship Id="rId17" Type="http://schemas.openxmlformats.org/officeDocument/2006/relationships/hyperlink" Target="https://normativ.kontur.ru/document?moduleid=1&amp;documentid=463955#l582" TargetMode="External"/><Relationship Id="rId2" Type="http://schemas.openxmlformats.org/officeDocument/2006/relationships/styles" Target="styles.xml"/><Relationship Id="rId16" Type="http://schemas.openxmlformats.org/officeDocument/2006/relationships/hyperlink" Target="https://normativ.kontur.ru/document?moduleid=1&amp;documentid=475732#l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ormativ.kontur.ru/document?moduleid=1&amp;documentid=466054#l91" TargetMode="External"/><Relationship Id="rId5" Type="http://schemas.openxmlformats.org/officeDocument/2006/relationships/footnotes" Target="footnotes.xml"/><Relationship Id="rId15" Type="http://schemas.openxmlformats.org/officeDocument/2006/relationships/hyperlink" Target="https://normativ.kontur.ru/document?moduleid=1&amp;documentid=475732#l0" TargetMode="External"/><Relationship Id="rId10" Type="http://schemas.openxmlformats.org/officeDocument/2006/relationships/hyperlink" Target="https://normativ.kontur.ru/document?moduleid=1&amp;documentid=466054#l6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ormativ.kontur.ru/document?moduleid=1&amp;documentid=466054#l3" TargetMode="External"/><Relationship Id="rId14" Type="http://schemas.openxmlformats.org/officeDocument/2006/relationships/hyperlink" Target="https://normativ.kontur.ru/document?moduleid=1&amp;documentid=475732#l0" TargetMode="Externa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2485</Words>
  <Characters>14165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Кириченко</dc:creator>
  <cp:lastModifiedBy>Юлия Кириченко</cp:lastModifiedBy>
  <cp:revision>3</cp:revision>
  <dcterms:created xsi:type="dcterms:W3CDTF">2025-01-23T05:55:00Z</dcterms:created>
  <dcterms:modified xsi:type="dcterms:W3CDTF">2025-12-17T06:54:00Z</dcterms:modified>
</cp:coreProperties>
</file>